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FC39B4" wp14:editId="2B3E635E">
            <wp:simplePos x="0" y="0"/>
            <wp:positionH relativeFrom="column">
              <wp:posOffset>-104775</wp:posOffset>
            </wp:positionH>
            <wp:positionV relativeFrom="paragraph">
              <wp:posOffset>-268605</wp:posOffset>
            </wp:positionV>
            <wp:extent cx="1190625" cy="1323975"/>
            <wp:effectExtent l="0" t="0" r="9525" b="9525"/>
            <wp:wrapSquare wrapText="bothSides"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A0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</w:t>
      </w: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</w:t>
      </w:r>
      <w:r w:rsidRPr="00663631"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Central Statistics Office 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/>
          <w:bCs/>
          <w:sz w:val="36"/>
          <w:szCs w:val="36"/>
        </w:rPr>
      </w:pPr>
      <w:r>
        <w:rPr>
          <w:rFonts w:ascii="Cooper Black" w:eastAsia="Times New Roman" w:hAnsi="Cooper Black" w:cs="Times New Roman"/>
          <w:b/>
          <w:bCs/>
          <w:sz w:val="36"/>
          <w:szCs w:val="36"/>
        </w:rPr>
        <w:t xml:space="preserve">               </w:t>
      </w:r>
      <w:r w:rsidRPr="00663631">
        <w:rPr>
          <w:rFonts w:ascii="Cooper Black" w:eastAsia="Times New Roman" w:hAnsi="Cooper Black" w:cs="Times New Roman"/>
          <w:bCs/>
          <w:sz w:val="24"/>
          <w:szCs w:val="24"/>
        </w:rPr>
        <w:t>PREMIER’S OFFICE</w:t>
      </w:r>
    </w:p>
    <w:p w:rsidR="00663631" w:rsidRPr="00663631" w:rsidRDefault="00663631" w:rsidP="00663631">
      <w:pPr>
        <w:widowControl w:val="0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</w:t>
      </w:r>
      <w:r w:rsidRPr="00663631">
        <w:rPr>
          <w:rFonts w:ascii="Book Antiqua" w:eastAsia="Times New Roman" w:hAnsi="Book Antiqua" w:cs="Times New Roman"/>
          <w:b/>
          <w:bCs/>
          <w:sz w:val="24"/>
          <w:szCs w:val="24"/>
        </w:rPr>
        <w:t>GOVERNMENT OF THE VIRGIN ISLANDS</w:t>
      </w:r>
    </w:p>
    <w:p w:rsidR="00663631" w:rsidRDefault="00663631" w:rsidP="00663631">
      <w:pPr>
        <w:widowControl w:val="0"/>
        <w:spacing w:after="0" w:line="240" w:lineRule="auto"/>
        <w:jc w:val="both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  </w:t>
      </w:r>
      <w:r w:rsidR="00F31B9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    </w:t>
      </w:r>
      <w:r w:rsidRPr="00663631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CONSUMER PRICE INDEX</w:t>
      </w:r>
      <w:r w:rsidR="00883F12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</w:t>
      </w:r>
      <w:r w:rsidR="003631D5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BULLETIN</w:t>
      </w:r>
    </w:p>
    <w:p w:rsidR="00663631" w:rsidRDefault="00883F12" w:rsidP="00883F12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  <w:r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 xml:space="preserve">                                                </w:t>
      </w:r>
      <w:r w:rsidR="00DC7250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201</w:t>
      </w:r>
      <w:r w:rsidR="00D23977">
        <w:rPr>
          <w:rFonts w:ascii="Cooper Black" w:eastAsia="Times New Roman" w:hAnsi="Cooper Black" w:cs="Times New Roman"/>
          <w:bCs/>
          <w:color w:val="0033CC"/>
          <w:sz w:val="24"/>
          <w:szCs w:val="24"/>
        </w:rPr>
        <w:t>6</w:t>
      </w:r>
    </w:p>
    <w:p w:rsidR="00663631" w:rsidRDefault="00663631" w:rsidP="00663631">
      <w:pPr>
        <w:widowControl w:val="0"/>
        <w:spacing w:after="0" w:line="240" w:lineRule="auto"/>
        <w:rPr>
          <w:rFonts w:ascii="Cooper Black" w:eastAsia="Times New Roman" w:hAnsi="Cooper Black" w:cs="Times New Roman"/>
          <w:bCs/>
          <w:color w:val="0033CC"/>
          <w:sz w:val="24"/>
          <w:szCs w:val="24"/>
        </w:rPr>
      </w:pPr>
    </w:p>
    <w:p w:rsidR="00EF2B1C" w:rsidRDefault="00663631" w:rsidP="00EF2B1C">
      <w:pPr>
        <w:widowControl w:val="0"/>
        <w:spacing w:after="0" w:line="240" w:lineRule="auto"/>
        <w:rPr>
          <w:rFonts w:ascii="Cooper Black" w:eastAsia="Batang" w:hAnsi="Cooper Black" w:cs="Times New Roman"/>
          <w:sz w:val="20"/>
          <w:szCs w:val="20"/>
          <w:u w:val="single"/>
        </w:rPr>
      </w:pPr>
      <w:r w:rsidRPr="00663631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6D0BD" wp14:editId="50328FFE">
                <wp:simplePos x="0" y="0"/>
                <wp:positionH relativeFrom="column">
                  <wp:posOffset>-285750</wp:posOffset>
                </wp:positionH>
                <wp:positionV relativeFrom="paragraph">
                  <wp:posOffset>55245</wp:posOffset>
                </wp:positionV>
                <wp:extent cx="7362825" cy="0"/>
                <wp:effectExtent l="0" t="19050" r="9525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4.35pt" to="557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" strokecolor="navy" strokeweight="2.25pt"/>
            </w:pict>
          </mc:Fallback>
        </mc:AlternateContent>
      </w:r>
    </w:p>
    <w:p w:rsidR="00EF2B1C" w:rsidRPr="00EF2B1C" w:rsidRDefault="00EF2B1C" w:rsidP="00EF2B1C">
      <w:pPr>
        <w:widowControl w:val="0"/>
        <w:spacing w:after="0" w:line="240" w:lineRule="auto"/>
        <w:rPr>
          <w:rFonts w:ascii="Cooper Black" w:eastAsia="Times New Roman" w:hAnsi="Cooper Black" w:cs="Times New Roman"/>
          <w:b/>
          <w:bCs/>
          <w:color w:val="0033CC"/>
        </w:rPr>
      </w:pPr>
      <w:r w:rsidRPr="00EF2B1C">
        <w:rPr>
          <w:rFonts w:ascii="Cooper Black" w:eastAsia="Batang" w:hAnsi="Cooper Black" w:cs="Times New Roman"/>
          <w:u w:val="single"/>
        </w:rPr>
        <w:t>Rate of Inflation at a Glance</w:t>
      </w:r>
    </w:p>
    <w:p w:rsidR="00EF2B1C" w:rsidRPr="00EF2B1C" w:rsidRDefault="00EF2B1C" w:rsidP="00EF2B1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2662C5" w:rsidRDefault="00883F12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The average Consumer Price Index (CPI) for 201</w:t>
      </w:r>
      <w:r w:rsidR="00FC755B">
        <w:rPr>
          <w:rFonts w:ascii="Times New Roman" w:eastAsia="Batang" w:hAnsi="Times New Roman" w:cs="Times New Roman"/>
        </w:rPr>
        <w:t>6</w:t>
      </w:r>
      <w:r>
        <w:rPr>
          <w:rFonts w:ascii="Times New Roman" w:eastAsia="Batang" w:hAnsi="Times New Roman" w:cs="Times New Roman"/>
        </w:rPr>
        <w:t xml:space="preserve"> was </w:t>
      </w:r>
      <w:r w:rsidR="00FC755B">
        <w:rPr>
          <w:rFonts w:ascii="Times New Roman" w:eastAsia="Batang" w:hAnsi="Times New Roman" w:cs="Times New Roman"/>
        </w:rPr>
        <w:t>106.05</w:t>
      </w:r>
      <w:r>
        <w:rPr>
          <w:rFonts w:ascii="Times New Roman" w:eastAsia="Batang" w:hAnsi="Times New Roman" w:cs="Times New Roman"/>
        </w:rPr>
        <w:t xml:space="preserve">, reflecting a </w:t>
      </w:r>
      <w:r w:rsidR="00FC755B">
        <w:rPr>
          <w:rFonts w:ascii="Times New Roman" w:eastAsia="Batang" w:hAnsi="Times New Roman" w:cs="Times New Roman"/>
        </w:rPr>
        <w:t>1.</w:t>
      </w:r>
      <w:r w:rsidR="00312FE1">
        <w:rPr>
          <w:rFonts w:ascii="Times New Roman" w:eastAsia="Batang" w:hAnsi="Times New Roman" w:cs="Times New Roman"/>
        </w:rPr>
        <w:t>1</w:t>
      </w:r>
      <w:r>
        <w:rPr>
          <w:rFonts w:ascii="Times New Roman" w:eastAsia="Batang" w:hAnsi="Times New Roman" w:cs="Times New Roman"/>
        </w:rPr>
        <w:t xml:space="preserve">% average increase in overall </w:t>
      </w:r>
      <w:r w:rsidR="002662C5">
        <w:rPr>
          <w:rFonts w:ascii="Times New Roman" w:eastAsia="Batang" w:hAnsi="Times New Roman" w:cs="Times New Roman"/>
        </w:rPr>
        <w:t xml:space="preserve">prices for the year. </w:t>
      </w:r>
      <w:r w:rsidR="00FC755B">
        <w:rPr>
          <w:rFonts w:ascii="Times New Roman" w:eastAsia="Batang" w:hAnsi="Times New Roman" w:cs="Times New Roman"/>
        </w:rPr>
        <w:t xml:space="preserve">Prices continue to rise slowly throughout the Virgin Islands. </w:t>
      </w:r>
      <w:r w:rsidR="002662C5">
        <w:rPr>
          <w:rFonts w:ascii="Times New Roman" w:eastAsia="Batang" w:hAnsi="Times New Roman" w:cs="Times New Roman"/>
        </w:rPr>
        <w:t xml:space="preserve"> One year ago</w:t>
      </w:r>
      <w:r w:rsidR="00B16639">
        <w:rPr>
          <w:rFonts w:ascii="Times New Roman" w:eastAsia="Batang" w:hAnsi="Times New Roman" w:cs="Times New Roman"/>
        </w:rPr>
        <w:t xml:space="preserve"> in 201</w:t>
      </w:r>
      <w:r w:rsidR="00312FE1">
        <w:rPr>
          <w:rFonts w:ascii="Times New Roman" w:eastAsia="Batang" w:hAnsi="Times New Roman" w:cs="Times New Roman"/>
        </w:rPr>
        <w:t>5</w:t>
      </w:r>
      <w:r w:rsidR="002662C5">
        <w:rPr>
          <w:rFonts w:ascii="Times New Roman" w:eastAsia="Batang" w:hAnsi="Times New Roman" w:cs="Times New Roman"/>
        </w:rPr>
        <w:t xml:space="preserve"> the inflation rate stood at </w:t>
      </w:r>
      <w:r w:rsidR="00FC755B">
        <w:rPr>
          <w:rFonts w:ascii="Times New Roman" w:eastAsia="Batang" w:hAnsi="Times New Roman" w:cs="Times New Roman"/>
        </w:rPr>
        <w:t>0.9</w:t>
      </w:r>
      <w:r w:rsidR="002662C5">
        <w:rPr>
          <w:rFonts w:ascii="Times New Roman" w:eastAsia="Batang" w:hAnsi="Times New Roman" w:cs="Times New Roman"/>
        </w:rPr>
        <w:t xml:space="preserve">%. </w:t>
      </w:r>
    </w:p>
    <w:p w:rsidR="002662C5" w:rsidRDefault="002662C5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For the first </w:t>
      </w:r>
      <w:r w:rsidR="00FC755B">
        <w:rPr>
          <w:rFonts w:ascii="Times New Roman" w:eastAsia="Batang" w:hAnsi="Times New Roman" w:cs="Times New Roman"/>
        </w:rPr>
        <w:t>few months</w:t>
      </w:r>
      <w:r>
        <w:rPr>
          <w:rFonts w:ascii="Times New Roman" w:eastAsia="Batang" w:hAnsi="Times New Roman" w:cs="Times New Roman"/>
        </w:rPr>
        <w:t xml:space="preserve"> of 201</w:t>
      </w:r>
      <w:r w:rsidR="00FC755B">
        <w:rPr>
          <w:rFonts w:ascii="Times New Roman" w:eastAsia="Batang" w:hAnsi="Times New Roman" w:cs="Times New Roman"/>
        </w:rPr>
        <w:t>6</w:t>
      </w:r>
      <w:r>
        <w:rPr>
          <w:rFonts w:ascii="Times New Roman" w:eastAsia="Batang" w:hAnsi="Times New Roman" w:cs="Times New Roman"/>
        </w:rPr>
        <w:t xml:space="preserve"> in</w:t>
      </w:r>
      <w:r w:rsidR="006A0FEB">
        <w:rPr>
          <w:rFonts w:ascii="Times New Roman" w:eastAsia="Batang" w:hAnsi="Times New Roman" w:cs="Times New Roman"/>
        </w:rPr>
        <w:t xml:space="preserve">flation </w:t>
      </w:r>
      <w:r w:rsidR="00FC755B">
        <w:rPr>
          <w:rFonts w:ascii="Times New Roman" w:eastAsia="Batang" w:hAnsi="Times New Roman" w:cs="Times New Roman"/>
        </w:rPr>
        <w:t xml:space="preserve">was relatively low, ranging from 0.2% to 0.8%. In June the rate increased to 1.2% and remained over 1.0% throughout the rest of the year with November recording the </w:t>
      </w:r>
      <w:r w:rsidR="0024118F">
        <w:rPr>
          <w:rFonts w:ascii="Times New Roman" w:eastAsia="Batang" w:hAnsi="Times New Roman" w:cs="Times New Roman"/>
        </w:rPr>
        <w:t>highest rate of 2.0%</w:t>
      </w:r>
      <w:r>
        <w:rPr>
          <w:rFonts w:ascii="Times New Roman" w:eastAsia="Batang" w:hAnsi="Times New Roman" w:cs="Times New Roman"/>
        </w:rPr>
        <w:t xml:space="preserve"> </w:t>
      </w:r>
    </w:p>
    <w:p w:rsidR="00B16639" w:rsidRDefault="00B16639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24118F" w:rsidRDefault="00F63AE7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This increase</w:t>
      </w:r>
      <w:r w:rsidR="0024118F">
        <w:rPr>
          <w:rFonts w:ascii="Times New Roman" w:eastAsia="Batang" w:hAnsi="Times New Roman" w:cs="Times New Roman"/>
        </w:rPr>
        <w:t xml:space="preserve"> in inflation is attributed to </w:t>
      </w:r>
      <w:r>
        <w:rPr>
          <w:rFonts w:ascii="Times New Roman" w:eastAsia="Batang" w:hAnsi="Times New Roman" w:cs="Times New Roman"/>
        </w:rPr>
        <w:t>overall increases</w:t>
      </w:r>
      <w:r w:rsidR="0024118F">
        <w:rPr>
          <w:rFonts w:ascii="Times New Roman" w:eastAsia="Batang" w:hAnsi="Times New Roman" w:cs="Times New Roman"/>
        </w:rPr>
        <w:t xml:space="preserve"> in the items under the following subgroups: Food and Non-Alcoholic Beverages; Alcoholic Beverages; Clothing and Footwear; Furniture and Household Equipment; Health Services; Communication; Recreation and Culture; Education; Restaurant and Hotel Services; and Miscellaneous Goods and Services from 2016 to 2015. Transportation and Housing and Utilities were the only two subgroups to show decline in 2016</w:t>
      </w:r>
      <w:r w:rsidR="00E124AE">
        <w:rPr>
          <w:rFonts w:ascii="Times New Roman" w:eastAsia="Batang" w:hAnsi="Times New Roman" w:cs="Times New Roman"/>
        </w:rPr>
        <w:t>.</w:t>
      </w:r>
    </w:p>
    <w:p w:rsidR="005A222C" w:rsidRDefault="005A222C" w:rsidP="005A222C">
      <w:pPr>
        <w:jc w:val="center"/>
        <w:rPr>
          <w:rFonts w:ascii="Times New Roman" w:hAnsi="Times New Roman" w:cs="Times New Roman"/>
          <w:b/>
        </w:rPr>
      </w:pPr>
    </w:p>
    <w:p w:rsidR="005A222C" w:rsidRDefault="005A222C" w:rsidP="005A22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Annual Inflation Rate 2006</w:t>
      </w:r>
      <w:r w:rsidRPr="002C6E58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6</w:t>
      </w:r>
    </w:p>
    <w:p w:rsidR="0024118F" w:rsidRDefault="0024118F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5A222C" w:rsidRDefault="005A222C" w:rsidP="005A222C">
      <w:pPr>
        <w:spacing w:after="0" w:line="240" w:lineRule="auto"/>
        <w:jc w:val="center"/>
        <w:rPr>
          <w:rFonts w:ascii="Cooper Black" w:eastAsia="Batang" w:hAnsi="Cooper Black" w:cs="Times New Roman"/>
          <w:u w:val="single"/>
        </w:rPr>
      </w:pPr>
      <w:r>
        <w:rPr>
          <w:noProof/>
        </w:rPr>
        <w:drawing>
          <wp:inline distT="0" distB="0" distL="0" distR="0" wp14:anchorId="5BFB9293" wp14:editId="5D33082A">
            <wp:extent cx="5476875" cy="3948114"/>
            <wp:effectExtent l="0" t="0" r="9525" b="146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222C" w:rsidRDefault="005A222C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</w:p>
    <w:p w:rsidR="005A222C" w:rsidRDefault="005A222C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</w:p>
    <w:p w:rsidR="005A222C" w:rsidRDefault="005A222C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</w:p>
    <w:p w:rsidR="005A222C" w:rsidRDefault="005A222C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</w:p>
    <w:p w:rsidR="005A222C" w:rsidRDefault="005A222C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</w:p>
    <w:p w:rsidR="00C23371" w:rsidRPr="005F3C85" w:rsidRDefault="00C23371" w:rsidP="00EF2B1C">
      <w:pPr>
        <w:spacing w:after="0" w:line="240" w:lineRule="auto"/>
        <w:jc w:val="both"/>
        <w:rPr>
          <w:rFonts w:ascii="Cooper Black" w:eastAsia="Batang" w:hAnsi="Cooper Black" w:cs="Times New Roman"/>
          <w:u w:val="single"/>
        </w:rPr>
      </w:pPr>
      <w:r w:rsidRPr="005F3C85">
        <w:rPr>
          <w:rFonts w:ascii="Cooper Black" w:eastAsia="Batang" w:hAnsi="Cooper Black" w:cs="Times New Roman"/>
          <w:u w:val="single"/>
        </w:rPr>
        <w:lastRenderedPageBreak/>
        <w:t xml:space="preserve">Annual Comparison </w:t>
      </w:r>
    </w:p>
    <w:p w:rsidR="00C23371" w:rsidRDefault="00C23371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82712B" w:rsidRPr="00C23371" w:rsidRDefault="0082712B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>Health Services</w:t>
      </w:r>
    </w:p>
    <w:p w:rsidR="0082712B" w:rsidRDefault="0082712B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This subgroup recorded the highest </w:t>
      </w:r>
      <w:r w:rsidR="00F63AE7">
        <w:rPr>
          <w:rFonts w:ascii="Times New Roman" w:eastAsia="Batang" w:hAnsi="Times New Roman" w:cs="Times New Roman"/>
        </w:rPr>
        <w:t xml:space="preserve">increase for 2016. This was </w:t>
      </w:r>
      <w:r>
        <w:rPr>
          <w:rFonts w:ascii="Times New Roman" w:eastAsia="Batang" w:hAnsi="Times New Roman" w:cs="Times New Roman"/>
        </w:rPr>
        <w:t>mainly due to an increase in</w:t>
      </w:r>
      <w:r w:rsidR="00F63AE7">
        <w:rPr>
          <w:rFonts w:ascii="Times New Roman" w:eastAsia="Batang" w:hAnsi="Times New Roman" w:cs="Times New Roman"/>
        </w:rPr>
        <w:t xml:space="preserve"> the cost of health care as a result of the introduction of the Virgin Isla</w:t>
      </w:r>
      <w:r w:rsidR="001A432C">
        <w:rPr>
          <w:rFonts w:ascii="Times New Roman" w:eastAsia="Batang" w:hAnsi="Times New Roman" w:cs="Times New Roman"/>
        </w:rPr>
        <w:t xml:space="preserve">nds National Health Insurance. </w:t>
      </w:r>
      <w:r>
        <w:rPr>
          <w:rFonts w:ascii="Times New Roman" w:eastAsia="Batang" w:hAnsi="Times New Roman" w:cs="Times New Roman"/>
        </w:rPr>
        <w:t xml:space="preserve">Health Services prices rose on average by 9.2% between 2015 and 2016 mainly due to rises in the cost for consultation of a general physician (up 16.7%); pharmaceutical products (up 15.7%); and </w:t>
      </w:r>
      <w:r w:rsidR="00E124AE">
        <w:rPr>
          <w:rFonts w:ascii="Times New Roman" w:eastAsia="Batang" w:hAnsi="Times New Roman" w:cs="Times New Roman"/>
        </w:rPr>
        <w:t>public hospital care (up 2.6%).</w:t>
      </w:r>
    </w:p>
    <w:p w:rsidR="00E124AE" w:rsidRDefault="00E124AE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A84374" w:rsidRDefault="00A84374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Communication</w:t>
      </w:r>
    </w:p>
    <w:p w:rsidR="00E124AE" w:rsidRDefault="00E124AE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The significant increase in the average cost of home internet by 18.3% was one </w:t>
      </w:r>
      <w:r w:rsidR="00A84374">
        <w:rPr>
          <w:rFonts w:ascii="Times New Roman" w:eastAsia="Batang" w:hAnsi="Times New Roman" w:cs="Times New Roman"/>
        </w:rPr>
        <w:t>contributor</w:t>
      </w:r>
      <w:r>
        <w:rPr>
          <w:rFonts w:ascii="Times New Roman" w:eastAsia="Batang" w:hAnsi="Times New Roman" w:cs="Times New Roman"/>
        </w:rPr>
        <w:t xml:space="preserve"> which caused communication prices to rise. In 2016 the average cost of communication services rose by 6.6%. Cellular phone service and cellular phone prices also increased (8.3% and 8.0% respectively).</w:t>
      </w:r>
    </w:p>
    <w:p w:rsidR="00E124AE" w:rsidRDefault="00E124AE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A84374" w:rsidRDefault="00E124AE" w:rsidP="00E124AE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>Clothing and Footwear</w:t>
      </w:r>
    </w:p>
    <w:p w:rsidR="00E124AE" w:rsidRDefault="00E124AE" w:rsidP="00E124AE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Clothing and Footwear prices</w:t>
      </w:r>
      <w:r w:rsidR="00A84374">
        <w:rPr>
          <w:rFonts w:ascii="Times New Roman" w:eastAsia="Batang" w:hAnsi="Times New Roman" w:cs="Times New Roman"/>
        </w:rPr>
        <w:t xml:space="preserve"> went up by 4.1</w:t>
      </w:r>
      <w:r>
        <w:rPr>
          <w:rFonts w:ascii="Times New Roman" w:eastAsia="Batang" w:hAnsi="Times New Roman" w:cs="Times New Roman"/>
        </w:rPr>
        <w:t>% as the average price of clothing</w:t>
      </w:r>
      <w:r w:rsidR="00A84374">
        <w:rPr>
          <w:rFonts w:ascii="Times New Roman" w:eastAsia="Batang" w:hAnsi="Times New Roman" w:cs="Times New Roman"/>
        </w:rPr>
        <w:t xml:space="preserve"> increased by 4.2% and footwear by 7.4%. Children’s and women’s shoes were up 12.9% and 6.0% </w:t>
      </w:r>
      <w:r>
        <w:rPr>
          <w:rFonts w:ascii="Times New Roman" w:eastAsia="Batang" w:hAnsi="Times New Roman" w:cs="Times New Roman"/>
        </w:rPr>
        <w:t xml:space="preserve">respectively. </w:t>
      </w:r>
    </w:p>
    <w:p w:rsidR="00A84374" w:rsidRPr="00E124AE" w:rsidRDefault="00A84374" w:rsidP="00E124AE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A84374" w:rsidRDefault="00A84374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Furniture and Household Equipment </w:t>
      </w:r>
    </w:p>
    <w:p w:rsidR="00A84374" w:rsidRPr="00A84374" w:rsidRDefault="00A84374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A84374">
        <w:rPr>
          <w:rFonts w:ascii="Times New Roman" w:eastAsia="Batang" w:hAnsi="Times New Roman" w:cs="Times New Roman"/>
        </w:rPr>
        <w:t xml:space="preserve">The </w:t>
      </w:r>
      <w:r>
        <w:rPr>
          <w:rFonts w:ascii="Times New Roman" w:eastAsia="Batang" w:hAnsi="Times New Roman" w:cs="Times New Roman"/>
        </w:rPr>
        <w:t>inflation rate of 3.5% in furniture and household equipment was mainly due to a rise in the average price of furniture such as beds, living room and di</w:t>
      </w:r>
      <w:r w:rsidR="001A432C">
        <w:rPr>
          <w:rFonts w:ascii="Times New Roman" w:eastAsia="Batang" w:hAnsi="Times New Roman" w:cs="Times New Roman"/>
        </w:rPr>
        <w:t xml:space="preserve">ning room sets and appliances such as </w:t>
      </w:r>
      <w:r>
        <w:rPr>
          <w:rFonts w:ascii="Times New Roman" w:eastAsia="Batang" w:hAnsi="Times New Roman" w:cs="Times New Roman"/>
        </w:rPr>
        <w:t>stoves and refrigerators</w:t>
      </w:r>
      <w:r w:rsidR="00885FBB">
        <w:rPr>
          <w:rFonts w:ascii="Times New Roman" w:eastAsia="Batang" w:hAnsi="Times New Roman" w:cs="Times New Roman"/>
        </w:rPr>
        <w:t xml:space="preserve"> which recorded an upward movement of 3.5% in their prices and domestic cleaning and gardening services prices rising significantly by 16.7%. The price of household supplies declined by 1.0%.</w:t>
      </w:r>
    </w:p>
    <w:p w:rsidR="00A84374" w:rsidRDefault="00A84374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885FBB" w:rsidRDefault="00885FBB" w:rsidP="00885FB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Education</w:t>
      </w:r>
      <w:r w:rsidR="00A71B6C">
        <w:rPr>
          <w:rFonts w:ascii="Times New Roman" w:eastAsia="Batang" w:hAnsi="Times New Roman" w:cs="Times New Roman"/>
          <w:b/>
        </w:rPr>
        <w:t xml:space="preserve"> (Private)</w:t>
      </w:r>
    </w:p>
    <w:p w:rsidR="00885FBB" w:rsidRPr="00885FBB" w:rsidRDefault="00885FBB" w:rsidP="00885FB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85FBB">
        <w:rPr>
          <w:rFonts w:ascii="Times New Roman" w:eastAsia="Batang" w:hAnsi="Times New Roman" w:cs="Times New Roman"/>
        </w:rPr>
        <w:t xml:space="preserve">The average cost of private education </w:t>
      </w:r>
      <w:r>
        <w:rPr>
          <w:rFonts w:ascii="Times New Roman" w:eastAsia="Batang" w:hAnsi="Times New Roman" w:cs="Times New Roman"/>
        </w:rPr>
        <w:t xml:space="preserve">climbed </w:t>
      </w:r>
      <w:r w:rsidRPr="00885FBB">
        <w:rPr>
          <w:rFonts w:ascii="Times New Roman" w:eastAsia="Batang" w:hAnsi="Times New Roman" w:cs="Times New Roman"/>
        </w:rPr>
        <w:t>by 2.9% as the cost for tuition for preschool</w:t>
      </w:r>
      <w:r w:rsidR="00B00CA9">
        <w:rPr>
          <w:rFonts w:ascii="Times New Roman" w:eastAsia="Batang" w:hAnsi="Times New Roman" w:cs="Times New Roman"/>
        </w:rPr>
        <w:t>s</w:t>
      </w:r>
      <w:r w:rsidRPr="00885FBB">
        <w:rPr>
          <w:rFonts w:ascii="Times New Roman" w:eastAsia="Batang" w:hAnsi="Times New Roman" w:cs="Times New Roman"/>
        </w:rPr>
        <w:t xml:space="preserve"> rose 8.3%; primary school</w:t>
      </w:r>
      <w:r w:rsidR="00B00CA9">
        <w:rPr>
          <w:rFonts w:ascii="Times New Roman" w:eastAsia="Batang" w:hAnsi="Times New Roman" w:cs="Times New Roman"/>
        </w:rPr>
        <w:t>s</w:t>
      </w:r>
      <w:r w:rsidRPr="00885FBB">
        <w:rPr>
          <w:rFonts w:ascii="Times New Roman" w:eastAsia="Batang" w:hAnsi="Times New Roman" w:cs="Times New Roman"/>
        </w:rPr>
        <w:t xml:space="preserve"> 4.8% and secondary school</w:t>
      </w:r>
      <w:r w:rsidR="00B00CA9">
        <w:rPr>
          <w:rFonts w:ascii="Times New Roman" w:eastAsia="Batang" w:hAnsi="Times New Roman" w:cs="Times New Roman"/>
        </w:rPr>
        <w:t>s</w:t>
      </w:r>
      <w:r w:rsidRPr="00885FBB">
        <w:rPr>
          <w:rFonts w:ascii="Times New Roman" w:eastAsia="Batang" w:hAnsi="Times New Roman" w:cs="Times New Roman"/>
        </w:rPr>
        <w:t xml:space="preserve"> by 3.6%.</w:t>
      </w:r>
    </w:p>
    <w:p w:rsidR="00885FBB" w:rsidRDefault="00885FBB" w:rsidP="00885FB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885FBB" w:rsidRPr="00C23371" w:rsidRDefault="00885FBB" w:rsidP="00885FB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 w:rsidRPr="00C23371">
        <w:rPr>
          <w:rFonts w:ascii="Times New Roman" w:eastAsia="Batang" w:hAnsi="Times New Roman" w:cs="Times New Roman"/>
          <w:b/>
        </w:rPr>
        <w:t xml:space="preserve">Food and Beverages </w:t>
      </w:r>
    </w:p>
    <w:p w:rsidR="00885FBB" w:rsidRDefault="00294172" w:rsidP="00885FB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There was a 2.3% rise in food and beverage prices due to increases in the average price of items in the following food groups: fruits (up 8.3%); vegetables (up 6.5%); bread and cereals (up 1.9%); food produc</w:t>
      </w:r>
      <w:r w:rsidR="00016713">
        <w:rPr>
          <w:rFonts w:ascii="Times New Roman" w:eastAsia="Batang" w:hAnsi="Times New Roman" w:cs="Times New Roman"/>
        </w:rPr>
        <w:t>ts such as salt, ketchup, mayonnaise</w:t>
      </w:r>
      <w:r>
        <w:rPr>
          <w:rFonts w:ascii="Times New Roman" w:eastAsia="Batang" w:hAnsi="Times New Roman" w:cs="Times New Roman"/>
        </w:rPr>
        <w:t xml:space="preserve"> (up 2.1%); alcoholic beverages (up 1.5%); oils and fats (up 1.5%); dairy products (up 1.3%); and non-alcoholic beverages (up 0.8%).</w:t>
      </w:r>
      <w:r w:rsidR="00966557">
        <w:rPr>
          <w:rFonts w:ascii="Times New Roman" w:eastAsia="Batang" w:hAnsi="Times New Roman" w:cs="Times New Roman"/>
        </w:rPr>
        <w:t>Sugar and c</w:t>
      </w:r>
      <w:r w:rsidR="00016713">
        <w:rPr>
          <w:rFonts w:ascii="Times New Roman" w:eastAsia="Batang" w:hAnsi="Times New Roman" w:cs="Times New Roman"/>
        </w:rPr>
        <w:t>onfectionery items such as white and brown sugar; honey; peanut butter and chocolate were the only group of items under food a</w:t>
      </w:r>
      <w:r w:rsidR="00B00CA9">
        <w:rPr>
          <w:rFonts w:ascii="Times New Roman" w:eastAsia="Batang" w:hAnsi="Times New Roman" w:cs="Times New Roman"/>
        </w:rPr>
        <w:t xml:space="preserve">nd beverages to show a decline </w:t>
      </w:r>
      <w:r w:rsidR="00016713">
        <w:rPr>
          <w:rFonts w:ascii="Times New Roman" w:eastAsia="Batang" w:hAnsi="Times New Roman" w:cs="Times New Roman"/>
        </w:rPr>
        <w:t>(down 0.4%)</w:t>
      </w:r>
      <w:r w:rsidR="00B00CA9">
        <w:rPr>
          <w:rFonts w:ascii="Times New Roman" w:eastAsia="Batang" w:hAnsi="Times New Roman" w:cs="Times New Roman"/>
        </w:rPr>
        <w:t>.</w:t>
      </w:r>
    </w:p>
    <w:p w:rsidR="00966557" w:rsidRDefault="00966557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</w:p>
    <w:p w:rsidR="00966557" w:rsidRDefault="00966557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Restaurant and Hotel Services</w:t>
      </w:r>
    </w:p>
    <w:p w:rsidR="00966557" w:rsidRPr="00966557" w:rsidRDefault="00966557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966557">
        <w:rPr>
          <w:rFonts w:ascii="Times New Roman" w:eastAsia="Batang" w:hAnsi="Times New Roman" w:cs="Times New Roman"/>
        </w:rPr>
        <w:t xml:space="preserve">Restaurant and hotel services experienced a price increase of 2.2% attributed to accommodation </w:t>
      </w:r>
      <w:r w:rsidR="00294CFA" w:rsidRPr="00966557">
        <w:rPr>
          <w:rFonts w:ascii="Times New Roman" w:eastAsia="Batang" w:hAnsi="Times New Roman" w:cs="Times New Roman"/>
        </w:rPr>
        <w:t>services mainly</w:t>
      </w:r>
      <w:r w:rsidRPr="00966557">
        <w:rPr>
          <w:rFonts w:ascii="Times New Roman" w:eastAsia="Batang" w:hAnsi="Times New Roman" w:cs="Times New Roman"/>
        </w:rPr>
        <w:t xml:space="preserve"> overnight stay at hotels which rose by 5.8% and meals and snacks bought out moved up by 3.9%.</w:t>
      </w:r>
    </w:p>
    <w:p w:rsidR="00966557" w:rsidRPr="00966557" w:rsidRDefault="00966557" w:rsidP="0082712B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294CFA" w:rsidRDefault="00294CFA" w:rsidP="0082712B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 xml:space="preserve">Miscellaneous Goods and Services </w:t>
      </w:r>
    </w:p>
    <w:p w:rsidR="002662C5" w:rsidRDefault="00294CFA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Goods and services under this subgroup recorded an upward movement in their prices by 0.6% as a result of increases in the prices of child care (up 7.4%) and personal care items and services such as hairdressing, deodorants, lotions, soaps and makeup (up 1.0%).</w:t>
      </w:r>
    </w:p>
    <w:p w:rsidR="00D85660" w:rsidRDefault="00D85660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D85660" w:rsidRPr="00C23371" w:rsidRDefault="00D85660" w:rsidP="00D85660">
      <w:pPr>
        <w:spacing w:after="0" w:line="240" w:lineRule="auto"/>
        <w:jc w:val="both"/>
        <w:rPr>
          <w:rFonts w:ascii="Times New Roman" w:eastAsia="Batang" w:hAnsi="Times New Roman" w:cs="Times New Roman"/>
          <w:b/>
        </w:rPr>
      </w:pPr>
      <w:r>
        <w:rPr>
          <w:rFonts w:ascii="Times New Roman" w:eastAsia="Batang" w:hAnsi="Times New Roman" w:cs="Times New Roman"/>
          <w:b/>
        </w:rPr>
        <w:t>T</w:t>
      </w:r>
      <w:r w:rsidRPr="00C23371">
        <w:rPr>
          <w:rFonts w:ascii="Times New Roman" w:eastAsia="Batang" w:hAnsi="Times New Roman" w:cs="Times New Roman"/>
          <w:b/>
        </w:rPr>
        <w:t>ransportation</w:t>
      </w:r>
    </w:p>
    <w:p w:rsidR="00895EFD" w:rsidRDefault="00B00CA9" w:rsidP="00D8566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For t</w:t>
      </w:r>
      <w:r w:rsidR="00EF4FF3">
        <w:rPr>
          <w:rFonts w:ascii="Times New Roman" w:eastAsia="Batang" w:hAnsi="Times New Roman" w:cs="Times New Roman"/>
        </w:rPr>
        <w:t xml:space="preserve">he year 2016 </w:t>
      </w:r>
      <w:r>
        <w:rPr>
          <w:rFonts w:ascii="Times New Roman" w:eastAsia="Batang" w:hAnsi="Times New Roman" w:cs="Times New Roman"/>
        </w:rPr>
        <w:t xml:space="preserve">this subgroup recorded the most significant decrease. </w:t>
      </w:r>
      <w:r w:rsidR="00D85660">
        <w:rPr>
          <w:rFonts w:ascii="Times New Roman" w:eastAsia="Batang" w:hAnsi="Times New Roman" w:cs="Times New Roman"/>
        </w:rPr>
        <w:t xml:space="preserve">Transportation prices fell by 3.8% in 2016 compared to 2015. This decline has kept the overall inflation rather low for the last two years. This reduction can be attributed to falling fuel prices </w:t>
      </w:r>
      <w:r w:rsidR="00EF4FF3">
        <w:rPr>
          <w:rFonts w:ascii="Times New Roman" w:eastAsia="Batang" w:hAnsi="Times New Roman" w:cs="Times New Roman"/>
        </w:rPr>
        <w:t>(gasoline down 10.1% and diesel down 12.5%); airfare (down 8.6%); and vehicle</w:t>
      </w:r>
      <w:r w:rsidR="00934412">
        <w:rPr>
          <w:rFonts w:ascii="Times New Roman" w:eastAsia="Batang" w:hAnsi="Times New Roman" w:cs="Times New Roman"/>
        </w:rPr>
        <w:t xml:space="preserve"> maintenance goods (down 2.4%).</w:t>
      </w:r>
    </w:p>
    <w:p w:rsidR="003A0EF4" w:rsidRDefault="003A0EF4" w:rsidP="00EF2B1C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EF4FF3" w:rsidRDefault="00934412" w:rsidP="00EF4FF3">
      <w:p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934412">
        <w:rPr>
          <w:rFonts w:ascii="Times New Roman" w:eastAsia="Batang" w:hAnsi="Times New Roman" w:cs="Times New Roman"/>
        </w:rPr>
        <w:t xml:space="preserve">The other subgroups recorded </w:t>
      </w:r>
      <w:r>
        <w:rPr>
          <w:rFonts w:ascii="Times New Roman" w:eastAsia="Batang" w:hAnsi="Times New Roman" w:cs="Times New Roman"/>
        </w:rPr>
        <w:t xml:space="preserve">minor changes in prices. </w:t>
      </w:r>
    </w:p>
    <w:p w:rsidR="00934412" w:rsidRPr="00856448" w:rsidRDefault="00934412" w:rsidP="00EF4FF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56448">
        <w:rPr>
          <w:rFonts w:ascii="Times New Roman" w:eastAsia="Batang" w:hAnsi="Times New Roman" w:cs="Times New Roman"/>
        </w:rPr>
        <w:t>Miscellaneous Goods and Services (up 0.6%)</w:t>
      </w:r>
    </w:p>
    <w:p w:rsidR="00934412" w:rsidRPr="00856448" w:rsidRDefault="00934412" w:rsidP="00856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56448">
        <w:rPr>
          <w:rFonts w:ascii="Times New Roman" w:eastAsia="Batang" w:hAnsi="Times New Roman" w:cs="Times New Roman"/>
        </w:rPr>
        <w:t>Recreation and Culture (up 0.6%)</w:t>
      </w:r>
    </w:p>
    <w:p w:rsidR="00934412" w:rsidRPr="00856448" w:rsidRDefault="00856448" w:rsidP="0085644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Batang" w:hAnsi="Times New Roman" w:cs="Times New Roman"/>
        </w:rPr>
      </w:pPr>
      <w:r w:rsidRPr="00856448">
        <w:rPr>
          <w:rFonts w:ascii="Times New Roman" w:eastAsia="Batang" w:hAnsi="Times New Roman" w:cs="Times New Roman"/>
        </w:rPr>
        <w:t>Housing and Utilities (down 0.6%)</w:t>
      </w:r>
    </w:p>
    <w:p w:rsidR="00EF4FF3" w:rsidRPr="00EF4FF3" w:rsidRDefault="00EF4FF3" w:rsidP="00EF4FF3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C23371" w:rsidRDefault="00C23371" w:rsidP="00F15980">
      <w:pPr>
        <w:spacing w:after="0" w:line="240" w:lineRule="auto"/>
        <w:jc w:val="both"/>
        <w:rPr>
          <w:rFonts w:ascii="Times New Roman" w:eastAsia="Batang" w:hAnsi="Times New Roman" w:cs="Times New Roman"/>
        </w:rPr>
      </w:pPr>
    </w:p>
    <w:p w:rsidR="0026330A" w:rsidRDefault="00E86534" w:rsidP="009E0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table shows the annual percentage change in prices or the inflation rate </w:t>
      </w:r>
      <w:r w:rsidR="00661115">
        <w:rPr>
          <w:rFonts w:ascii="Times New Roman" w:hAnsi="Times New Roman" w:cs="Times New Roman"/>
        </w:rPr>
        <w:t xml:space="preserve">by subgroups </w:t>
      </w:r>
      <w:r>
        <w:rPr>
          <w:rFonts w:ascii="Times New Roman" w:hAnsi="Times New Roman" w:cs="Times New Roman"/>
        </w:rPr>
        <w:t xml:space="preserve">for 2015 and 2016: </w:t>
      </w: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1115" w:rsidRDefault="00661115" w:rsidP="00FE1DFD">
      <w:pPr>
        <w:spacing w:after="0" w:line="240" w:lineRule="auto"/>
      </w:pPr>
      <w:r>
        <w:fldChar w:fldCharType="begin"/>
      </w:r>
      <w:r>
        <w:instrText xml:space="preserve"> LINK </w:instrText>
      </w:r>
      <w:r w:rsidR="009914E7">
        <w:instrText xml:space="preserve">Excel.Sheet.12 "\\\\cacfs-121\\csu$\\Work\\PUBLIC\\Docs from Tamika N. George\\2016 CPI Reports\\CPI Comparison 2015 and 2016.xlsx" Sheet2!R2C1:R17C3 </w:instrText>
      </w:r>
      <w:r>
        <w:instrText xml:space="preserve">\a \f 4 \h </w:instrText>
      </w:r>
      <w:r>
        <w:fldChar w:fldCharType="separate"/>
      </w:r>
    </w:p>
    <w:tbl>
      <w:tblPr>
        <w:tblpPr w:leftFromText="180" w:rightFromText="180" w:vertAnchor="text" w:tblpXSpec="center" w:tblpY="1"/>
        <w:tblOverlap w:val="never"/>
        <w:tblW w:w="7520" w:type="dxa"/>
        <w:tblLook w:val="04A0" w:firstRow="1" w:lastRow="0" w:firstColumn="1" w:lastColumn="0" w:noHBand="0" w:noVBand="1"/>
      </w:tblPr>
      <w:tblGrid>
        <w:gridCol w:w="5140"/>
        <w:gridCol w:w="1200"/>
        <w:gridCol w:w="1180"/>
      </w:tblGrid>
      <w:tr w:rsidR="00661115" w:rsidRPr="00661115" w:rsidTr="0027125D">
        <w:trPr>
          <w:trHeight w:val="585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INFLATION RATE BY CPI SUBGROUPS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Subgroup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Food &amp; Non-Alcoholic Beverages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1.4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Alcoholic Beverages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>Clothing &amp; Footwear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Housing &amp; Utilities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-0.6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Furniture &amp; Household Equipment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Health Services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>Transportation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-3.2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-3.8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Communication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>Recreation and Culture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Education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Restaurant and Hotel Services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1115">
              <w:rPr>
                <w:rFonts w:ascii="Times New Roman" w:eastAsia="Times New Roman" w:hAnsi="Times New Roman" w:cs="Times New Roman"/>
              </w:rPr>
              <w:t xml:space="preserve">Miscellaneous Goods and Services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color w:val="000000"/>
              </w:rPr>
              <w:t>0.6</w:t>
            </w:r>
          </w:p>
        </w:tc>
      </w:tr>
      <w:tr w:rsidR="00661115" w:rsidRPr="00661115" w:rsidTr="0027125D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</w:rPr>
              <w:t xml:space="preserve">All Groups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115" w:rsidRPr="00661115" w:rsidRDefault="00661115" w:rsidP="00271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611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</w:t>
            </w:r>
          </w:p>
        </w:tc>
      </w:tr>
    </w:tbl>
    <w:p w:rsidR="00A90452" w:rsidRPr="00A04504" w:rsidRDefault="00661115" w:rsidP="00774C46">
      <w:pPr>
        <w:spacing w:after="0" w:line="240" w:lineRule="auto"/>
        <w:jc w:val="center"/>
        <w:rPr>
          <w:rFonts w:ascii="Times New Roman" w:hAnsi="Times New Roman" w:cs="Times New Roman"/>
        </w:rPr>
        <w:sectPr w:rsidR="00A90452" w:rsidRPr="00A04504" w:rsidSect="00846A01">
          <w:footerReference w:type="default" r:id="rId10"/>
          <w:pgSz w:w="12240" w:h="15840"/>
          <w:pgMar w:top="720" w:right="720" w:bottom="720" w:left="720" w:header="720" w:footer="720" w:gutter="0"/>
          <w:cols w:space="432"/>
          <w:docGrid w:linePitch="360"/>
        </w:sectPr>
      </w:pPr>
      <w:r>
        <w:rPr>
          <w:rFonts w:ascii="Times New Roman" w:hAnsi="Times New Roman" w:cs="Times New Roman"/>
        </w:rPr>
        <w:fldChar w:fldCharType="end"/>
      </w:r>
      <w:r w:rsidR="0027125D">
        <w:rPr>
          <w:rFonts w:ascii="Times New Roman" w:hAnsi="Times New Roman" w:cs="Times New Roman"/>
        </w:rPr>
        <w:br w:type="textWrapping" w:clear="all"/>
      </w:r>
    </w:p>
    <w:p w:rsidR="0012298E" w:rsidRDefault="002444D5" w:rsidP="009E0E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This table shows</w:t>
      </w:r>
      <w:r w:rsidR="00A0450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monthly Consumer Price Index by subgroup for 2016 along with the monthly and annual percentage changes compared to 2015.</w:t>
      </w:r>
    </w:p>
    <w:p w:rsidR="00A04504" w:rsidRDefault="00A04504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04" w:rsidRDefault="00A04504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04" w:rsidRDefault="00A04504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4504" w:rsidRDefault="00A04504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A04504" w:rsidP="009E0E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4504">
        <w:rPr>
          <w:noProof/>
        </w:rPr>
        <w:drawing>
          <wp:inline distT="0" distB="0" distL="0" distR="0" wp14:anchorId="7970210F" wp14:editId="5DB124D3">
            <wp:extent cx="9315450" cy="331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298E" w:rsidRDefault="0012298E" w:rsidP="009E0E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5F6B" w:rsidRDefault="00AE5F6B" w:rsidP="00A90452">
      <w:pPr>
        <w:spacing w:after="0" w:line="240" w:lineRule="auto"/>
        <w:rPr>
          <w:rFonts w:ascii="Book Antiqua" w:eastAsia="Times New Roman" w:hAnsi="Book Antiqua" w:cs="Times New Roman"/>
          <w:b/>
          <w:i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AE5F6B" w:rsidRPr="00AE5F6B" w:rsidRDefault="00AE5F6B" w:rsidP="00AE5F6B">
      <w:pPr>
        <w:rPr>
          <w:rFonts w:ascii="Book Antiqua" w:eastAsia="Times New Roman" w:hAnsi="Book Antiqua" w:cs="Times New Roman"/>
          <w:sz w:val="18"/>
          <w:szCs w:val="18"/>
        </w:rPr>
      </w:pPr>
    </w:p>
    <w:p w:rsidR="002C6E58" w:rsidRPr="002C6E58" w:rsidRDefault="002C6E58" w:rsidP="0027125D">
      <w:pPr>
        <w:rPr>
          <w:rFonts w:ascii="Times New Roman" w:hAnsi="Times New Roman" w:cs="Times New Roman"/>
          <w:b/>
        </w:rPr>
      </w:pPr>
    </w:p>
    <w:sectPr w:rsidR="002C6E58" w:rsidRPr="002C6E58" w:rsidSect="002712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5D" w:rsidRDefault="0027125D" w:rsidP="005F3C85">
      <w:pPr>
        <w:spacing w:after="0" w:line="240" w:lineRule="auto"/>
      </w:pPr>
      <w:r>
        <w:separator/>
      </w:r>
    </w:p>
  </w:endnote>
  <w:endnote w:type="continuationSeparator" w:id="0">
    <w:p w:rsidR="0027125D" w:rsidRDefault="0027125D" w:rsidP="005F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6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25D" w:rsidRDefault="002712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125D" w:rsidRDefault="00271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5D" w:rsidRDefault="0027125D" w:rsidP="005F3C85">
      <w:pPr>
        <w:spacing w:after="0" w:line="240" w:lineRule="auto"/>
      </w:pPr>
      <w:r>
        <w:separator/>
      </w:r>
    </w:p>
  </w:footnote>
  <w:footnote w:type="continuationSeparator" w:id="0">
    <w:p w:rsidR="0027125D" w:rsidRDefault="0027125D" w:rsidP="005F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62085"/>
    <w:multiLevelType w:val="hybridMultilevel"/>
    <w:tmpl w:val="3932B32A"/>
    <w:lvl w:ilvl="0" w:tplc="B6824AF6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312EA"/>
    <w:multiLevelType w:val="hybridMultilevel"/>
    <w:tmpl w:val="A4D0657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42A14D61"/>
    <w:multiLevelType w:val="hybridMultilevel"/>
    <w:tmpl w:val="7AF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2EF7"/>
    <w:multiLevelType w:val="hybridMultilevel"/>
    <w:tmpl w:val="0324D2D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5403390C"/>
    <w:multiLevelType w:val="hybridMultilevel"/>
    <w:tmpl w:val="77BE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0240D"/>
    <w:multiLevelType w:val="hybridMultilevel"/>
    <w:tmpl w:val="979A9306"/>
    <w:lvl w:ilvl="0" w:tplc="B6824AF6">
      <w:start w:val="201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0672D"/>
    <w:multiLevelType w:val="hybridMultilevel"/>
    <w:tmpl w:val="EB5CC8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72738F"/>
    <w:multiLevelType w:val="hybridMultilevel"/>
    <w:tmpl w:val="F712182A"/>
    <w:lvl w:ilvl="0" w:tplc="B6824AF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31"/>
    <w:rsid w:val="0000162D"/>
    <w:rsid w:val="00016713"/>
    <w:rsid w:val="00046743"/>
    <w:rsid w:val="0006409B"/>
    <w:rsid w:val="00065C96"/>
    <w:rsid w:val="000A068C"/>
    <w:rsid w:val="000B5BFF"/>
    <w:rsid w:val="000D3070"/>
    <w:rsid w:val="000E36FA"/>
    <w:rsid w:val="00112553"/>
    <w:rsid w:val="00121731"/>
    <w:rsid w:val="0012298E"/>
    <w:rsid w:val="0013532B"/>
    <w:rsid w:val="001372DE"/>
    <w:rsid w:val="00143CC2"/>
    <w:rsid w:val="001523DC"/>
    <w:rsid w:val="001555EC"/>
    <w:rsid w:val="00172D90"/>
    <w:rsid w:val="001A432C"/>
    <w:rsid w:val="0024118F"/>
    <w:rsid w:val="002444D5"/>
    <w:rsid w:val="0026330A"/>
    <w:rsid w:val="002662C5"/>
    <w:rsid w:val="00266A81"/>
    <w:rsid w:val="00271088"/>
    <w:rsid w:val="0027125D"/>
    <w:rsid w:val="00294172"/>
    <w:rsid w:val="002948FC"/>
    <w:rsid w:val="00294CFA"/>
    <w:rsid w:val="00296F41"/>
    <w:rsid w:val="002A0864"/>
    <w:rsid w:val="002B055C"/>
    <w:rsid w:val="002B1978"/>
    <w:rsid w:val="002C6E58"/>
    <w:rsid w:val="002E0991"/>
    <w:rsid w:val="00312FE1"/>
    <w:rsid w:val="00357CD3"/>
    <w:rsid w:val="003631D5"/>
    <w:rsid w:val="00381D3F"/>
    <w:rsid w:val="003A0EF4"/>
    <w:rsid w:val="003A2CD4"/>
    <w:rsid w:val="003D141A"/>
    <w:rsid w:val="003D2B62"/>
    <w:rsid w:val="00432CCE"/>
    <w:rsid w:val="00437CCC"/>
    <w:rsid w:val="0046075A"/>
    <w:rsid w:val="0047135D"/>
    <w:rsid w:val="004A49B2"/>
    <w:rsid w:val="004B1084"/>
    <w:rsid w:val="004B2168"/>
    <w:rsid w:val="004B294E"/>
    <w:rsid w:val="004D06E1"/>
    <w:rsid w:val="004D4809"/>
    <w:rsid w:val="004D5607"/>
    <w:rsid w:val="004D7EC0"/>
    <w:rsid w:val="004E6335"/>
    <w:rsid w:val="004F777C"/>
    <w:rsid w:val="0052044F"/>
    <w:rsid w:val="0053113F"/>
    <w:rsid w:val="00583DF0"/>
    <w:rsid w:val="005868F7"/>
    <w:rsid w:val="005A222C"/>
    <w:rsid w:val="005A42B9"/>
    <w:rsid w:val="005D1F87"/>
    <w:rsid w:val="005D285F"/>
    <w:rsid w:val="005D7E2F"/>
    <w:rsid w:val="005E570A"/>
    <w:rsid w:val="005F3C85"/>
    <w:rsid w:val="00607CEB"/>
    <w:rsid w:val="00631410"/>
    <w:rsid w:val="00647AA4"/>
    <w:rsid w:val="00660924"/>
    <w:rsid w:val="00661115"/>
    <w:rsid w:val="00663631"/>
    <w:rsid w:val="00694FB3"/>
    <w:rsid w:val="006A0FEB"/>
    <w:rsid w:val="006B0E4D"/>
    <w:rsid w:val="006B5AE3"/>
    <w:rsid w:val="006D631D"/>
    <w:rsid w:val="0074575D"/>
    <w:rsid w:val="007603FA"/>
    <w:rsid w:val="007634EC"/>
    <w:rsid w:val="00766953"/>
    <w:rsid w:val="00774C46"/>
    <w:rsid w:val="0079502A"/>
    <w:rsid w:val="007A5AC4"/>
    <w:rsid w:val="007B0D0B"/>
    <w:rsid w:val="007C3605"/>
    <w:rsid w:val="007C645B"/>
    <w:rsid w:val="007D42FD"/>
    <w:rsid w:val="007D79E2"/>
    <w:rsid w:val="0082712B"/>
    <w:rsid w:val="00840C1D"/>
    <w:rsid w:val="008433B7"/>
    <w:rsid w:val="00846A01"/>
    <w:rsid w:val="00846D86"/>
    <w:rsid w:val="00856448"/>
    <w:rsid w:val="00865FC1"/>
    <w:rsid w:val="00867160"/>
    <w:rsid w:val="008803F6"/>
    <w:rsid w:val="00883F12"/>
    <w:rsid w:val="00885FBB"/>
    <w:rsid w:val="008910C8"/>
    <w:rsid w:val="00895EFD"/>
    <w:rsid w:val="008C0C71"/>
    <w:rsid w:val="008D49A5"/>
    <w:rsid w:val="00916D00"/>
    <w:rsid w:val="0092478B"/>
    <w:rsid w:val="00934412"/>
    <w:rsid w:val="009406DD"/>
    <w:rsid w:val="00940CC7"/>
    <w:rsid w:val="0095331C"/>
    <w:rsid w:val="00961E5D"/>
    <w:rsid w:val="00966557"/>
    <w:rsid w:val="0096716A"/>
    <w:rsid w:val="009914E7"/>
    <w:rsid w:val="009A6361"/>
    <w:rsid w:val="009C5D6B"/>
    <w:rsid w:val="009E0E17"/>
    <w:rsid w:val="009F5B87"/>
    <w:rsid w:val="00A04504"/>
    <w:rsid w:val="00A70F57"/>
    <w:rsid w:val="00A71B6C"/>
    <w:rsid w:val="00A84374"/>
    <w:rsid w:val="00A90452"/>
    <w:rsid w:val="00AA02F7"/>
    <w:rsid w:val="00AA31E6"/>
    <w:rsid w:val="00AB23CF"/>
    <w:rsid w:val="00AD1A62"/>
    <w:rsid w:val="00AD59FA"/>
    <w:rsid w:val="00AE50E0"/>
    <w:rsid w:val="00AE5F6B"/>
    <w:rsid w:val="00AF49F5"/>
    <w:rsid w:val="00B00CA9"/>
    <w:rsid w:val="00B00D0C"/>
    <w:rsid w:val="00B16639"/>
    <w:rsid w:val="00BA222F"/>
    <w:rsid w:val="00BA4E2E"/>
    <w:rsid w:val="00BB3B1F"/>
    <w:rsid w:val="00BC2482"/>
    <w:rsid w:val="00BD07CF"/>
    <w:rsid w:val="00BD3300"/>
    <w:rsid w:val="00BF0978"/>
    <w:rsid w:val="00BF781A"/>
    <w:rsid w:val="00C0657D"/>
    <w:rsid w:val="00C23371"/>
    <w:rsid w:val="00C23B94"/>
    <w:rsid w:val="00C35741"/>
    <w:rsid w:val="00CC57E4"/>
    <w:rsid w:val="00D1181E"/>
    <w:rsid w:val="00D1344F"/>
    <w:rsid w:val="00D21304"/>
    <w:rsid w:val="00D23977"/>
    <w:rsid w:val="00D41D69"/>
    <w:rsid w:val="00D85660"/>
    <w:rsid w:val="00DA5D5B"/>
    <w:rsid w:val="00DC7250"/>
    <w:rsid w:val="00E0063C"/>
    <w:rsid w:val="00E124AE"/>
    <w:rsid w:val="00E1475F"/>
    <w:rsid w:val="00E1565C"/>
    <w:rsid w:val="00E60612"/>
    <w:rsid w:val="00E719A8"/>
    <w:rsid w:val="00E753DC"/>
    <w:rsid w:val="00E86534"/>
    <w:rsid w:val="00E9132A"/>
    <w:rsid w:val="00EA2C4F"/>
    <w:rsid w:val="00EC782D"/>
    <w:rsid w:val="00EF2B1C"/>
    <w:rsid w:val="00EF4FF3"/>
    <w:rsid w:val="00F15980"/>
    <w:rsid w:val="00F31B96"/>
    <w:rsid w:val="00F4738A"/>
    <w:rsid w:val="00F57485"/>
    <w:rsid w:val="00F6019D"/>
    <w:rsid w:val="00F63AE7"/>
    <w:rsid w:val="00F6783E"/>
    <w:rsid w:val="00F92A5E"/>
    <w:rsid w:val="00F92AB1"/>
    <w:rsid w:val="00FB7DD5"/>
    <w:rsid w:val="00FC755B"/>
    <w:rsid w:val="00FD03BA"/>
    <w:rsid w:val="00F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5"/>
  </w:style>
  <w:style w:type="paragraph" w:styleId="Footer">
    <w:name w:val="footer"/>
    <w:basedOn w:val="Normal"/>
    <w:link w:val="Foot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2B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3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31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3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B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2B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EF2B1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F2B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3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C85"/>
  </w:style>
  <w:style w:type="paragraph" w:styleId="Footer">
    <w:name w:val="footer"/>
    <w:basedOn w:val="Normal"/>
    <w:link w:val="FooterChar"/>
    <w:uiPriority w:val="99"/>
    <w:unhideWhenUsed/>
    <w:rsid w:val="005F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 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Sheet4!$A$4:$A$14</c:f>
              <c:numCache>
                <c:formatCode>General</c:formatCode>
                <c:ptCount val="11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</c:numCache>
            </c:numRef>
          </c:cat>
          <c:val>
            <c:numRef>
              <c:f>Sheet4!$B$4:$B$14</c:f>
              <c:numCache>
                <c:formatCode>0.0</c:formatCode>
                <c:ptCount val="11"/>
                <c:pt idx="0">
                  <c:v>2.73</c:v>
                </c:pt>
                <c:pt idx="1">
                  <c:v>2.5</c:v>
                </c:pt>
                <c:pt idx="2">
                  <c:v>7.5</c:v>
                </c:pt>
                <c:pt idx="3">
                  <c:v>3</c:v>
                </c:pt>
                <c:pt idx="4">
                  <c:v>2.4</c:v>
                </c:pt>
                <c:pt idx="5">
                  <c:v>2.5</c:v>
                </c:pt>
                <c:pt idx="6">
                  <c:v>2.2000000000000002</c:v>
                </c:pt>
                <c:pt idx="7">
                  <c:v>1.5</c:v>
                </c:pt>
                <c:pt idx="8">
                  <c:v>1.9</c:v>
                </c:pt>
                <c:pt idx="9">
                  <c:v>0.9</c:v>
                </c:pt>
                <c:pt idx="10">
                  <c:v>1.1000000000000001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0356224"/>
        <c:axId val="50357760"/>
      </c:lineChart>
      <c:catAx>
        <c:axId val="5035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0357760"/>
        <c:crosses val="autoZero"/>
        <c:auto val="1"/>
        <c:lblAlgn val="ctr"/>
        <c:lblOffset val="100"/>
        <c:noMultiLvlLbl val="0"/>
      </c:catAx>
      <c:valAx>
        <c:axId val="50357760"/>
        <c:scaling>
          <c:orientation val="minMax"/>
        </c:scaling>
        <c:delete val="0"/>
        <c:axPos val="l"/>
        <c:majorGridlines/>
        <c:numFmt formatCode="0.0" sourceLinked="1"/>
        <c:majorTickMark val="none"/>
        <c:minorTickMark val="none"/>
        <c:tickLblPos val="nextTo"/>
        <c:crossAx val="5035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Tamika N George</dc:creator>
  <cp:lastModifiedBy>Alyssa S.A. Shepherd</cp:lastModifiedBy>
  <cp:revision>2</cp:revision>
  <cp:lastPrinted>2017-02-01T16:06:00Z</cp:lastPrinted>
  <dcterms:created xsi:type="dcterms:W3CDTF">2018-11-05T15:08:00Z</dcterms:created>
  <dcterms:modified xsi:type="dcterms:W3CDTF">2018-11-05T15:08:00Z</dcterms:modified>
</cp:coreProperties>
</file>