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31" w:rsidRDefault="00663631" w:rsidP="00663631">
      <w:pPr>
        <w:widowControl w:val="0"/>
        <w:spacing w:after="0" w:line="240" w:lineRule="auto"/>
        <w:jc w:val="both"/>
        <w:rPr>
          <w:rFonts w:ascii="Cooper Black" w:eastAsia="Times New Roman" w:hAnsi="Cooper Black" w:cs="Times New Roman"/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4FC39B4" wp14:editId="2B3E635E">
            <wp:simplePos x="0" y="0"/>
            <wp:positionH relativeFrom="column">
              <wp:posOffset>-104775</wp:posOffset>
            </wp:positionH>
            <wp:positionV relativeFrom="paragraph">
              <wp:posOffset>-268605</wp:posOffset>
            </wp:positionV>
            <wp:extent cx="1190625" cy="1323975"/>
            <wp:effectExtent l="0" t="0" r="9525" b="9525"/>
            <wp:wrapSquare wrapText="bothSides"/>
            <wp:docPr id="51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6A01">
        <w:rPr>
          <w:rFonts w:ascii="Cooper Black" w:eastAsia="Times New Roman" w:hAnsi="Cooper Black" w:cs="Times New Roman"/>
          <w:b/>
          <w:bCs/>
          <w:sz w:val="36"/>
          <w:szCs w:val="36"/>
        </w:rPr>
        <w:t xml:space="preserve">   </w:t>
      </w:r>
      <w:r>
        <w:rPr>
          <w:rFonts w:ascii="Cooper Black" w:eastAsia="Times New Roman" w:hAnsi="Cooper Black" w:cs="Times New Roman"/>
          <w:b/>
          <w:bCs/>
          <w:sz w:val="36"/>
          <w:szCs w:val="36"/>
        </w:rPr>
        <w:t xml:space="preserve"> </w:t>
      </w:r>
      <w:r w:rsidRPr="00663631">
        <w:rPr>
          <w:rFonts w:ascii="Cooper Black" w:eastAsia="Times New Roman" w:hAnsi="Cooper Black" w:cs="Times New Roman"/>
          <w:b/>
          <w:bCs/>
          <w:sz w:val="36"/>
          <w:szCs w:val="36"/>
        </w:rPr>
        <w:t xml:space="preserve">Central Statistics Office </w:t>
      </w:r>
    </w:p>
    <w:p w:rsidR="00663631" w:rsidRPr="00663631" w:rsidRDefault="00663631" w:rsidP="00663631">
      <w:pPr>
        <w:widowControl w:val="0"/>
        <w:spacing w:after="0" w:line="240" w:lineRule="auto"/>
        <w:jc w:val="both"/>
        <w:rPr>
          <w:rFonts w:ascii="Cooper Black" w:eastAsia="Times New Roman" w:hAnsi="Cooper Black" w:cs="Times New Roman"/>
          <w:b/>
          <w:bCs/>
          <w:sz w:val="36"/>
          <w:szCs w:val="36"/>
        </w:rPr>
      </w:pPr>
      <w:r>
        <w:rPr>
          <w:rFonts w:ascii="Cooper Black" w:eastAsia="Times New Roman" w:hAnsi="Cooper Black" w:cs="Times New Roman"/>
          <w:b/>
          <w:bCs/>
          <w:sz w:val="36"/>
          <w:szCs w:val="36"/>
        </w:rPr>
        <w:t xml:space="preserve">               </w:t>
      </w:r>
      <w:r w:rsidRPr="00663631">
        <w:rPr>
          <w:rFonts w:ascii="Cooper Black" w:eastAsia="Times New Roman" w:hAnsi="Cooper Black" w:cs="Times New Roman"/>
          <w:bCs/>
          <w:sz w:val="24"/>
          <w:szCs w:val="24"/>
        </w:rPr>
        <w:t>PREMIER’S OFFICE</w:t>
      </w:r>
    </w:p>
    <w:p w:rsidR="00663631" w:rsidRPr="00663631" w:rsidRDefault="00663631" w:rsidP="00663631">
      <w:pPr>
        <w:widowControl w:val="0"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     </w:t>
      </w:r>
      <w:r w:rsidRPr="00663631">
        <w:rPr>
          <w:rFonts w:ascii="Book Antiqua" w:eastAsia="Times New Roman" w:hAnsi="Book Antiqua" w:cs="Times New Roman"/>
          <w:b/>
          <w:bCs/>
          <w:sz w:val="24"/>
          <w:szCs w:val="24"/>
        </w:rPr>
        <w:t>GOVERNMENT OF THE VIRGIN ISLANDS</w:t>
      </w:r>
    </w:p>
    <w:p w:rsidR="00663631" w:rsidRDefault="00663631" w:rsidP="00663631">
      <w:pPr>
        <w:widowControl w:val="0"/>
        <w:spacing w:after="0" w:line="240" w:lineRule="auto"/>
        <w:jc w:val="both"/>
        <w:rPr>
          <w:rFonts w:ascii="Cooper Black" w:eastAsia="Times New Roman" w:hAnsi="Cooper Black" w:cs="Times New Roman"/>
          <w:bCs/>
          <w:color w:val="0033CC"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      </w:t>
      </w:r>
      <w:r w:rsidR="00F31B96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    </w:t>
      </w:r>
      <w:r w:rsidRPr="00663631">
        <w:rPr>
          <w:rFonts w:ascii="Cooper Black" w:eastAsia="Times New Roman" w:hAnsi="Cooper Black" w:cs="Times New Roman"/>
          <w:bCs/>
          <w:color w:val="0033CC"/>
          <w:sz w:val="24"/>
          <w:szCs w:val="24"/>
        </w:rPr>
        <w:t>CONSUMER PRICE INDEX</w:t>
      </w:r>
      <w:r w:rsidR="00883F12">
        <w:rPr>
          <w:rFonts w:ascii="Cooper Black" w:eastAsia="Times New Roman" w:hAnsi="Cooper Black" w:cs="Times New Roman"/>
          <w:bCs/>
          <w:color w:val="0033CC"/>
          <w:sz w:val="24"/>
          <w:szCs w:val="24"/>
        </w:rPr>
        <w:t xml:space="preserve"> </w:t>
      </w:r>
      <w:r w:rsidR="003631D5">
        <w:rPr>
          <w:rFonts w:ascii="Cooper Black" w:eastAsia="Times New Roman" w:hAnsi="Cooper Black" w:cs="Times New Roman"/>
          <w:bCs/>
          <w:color w:val="0033CC"/>
          <w:sz w:val="24"/>
          <w:szCs w:val="24"/>
        </w:rPr>
        <w:t>BULLETIN</w:t>
      </w:r>
    </w:p>
    <w:p w:rsidR="00663631" w:rsidRDefault="00883F12" w:rsidP="00883F12">
      <w:pPr>
        <w:widowControl w:val="0"/>
        <w:spacing w:after="0" w:line="240" w:lineRule="auto"/>
        <w:rPr>
          <w:rFonts w:ascii="Cooper Black" w:eastAsia="Times New Roman" w:hAnsi="Cooper Black" w:cs="Times New Roman"/>
          <w:bCs/>
          <w:color w:val="0033CC"/>
          <w:sz w:val="24"/>
          <w:szCs w:val="24"/>
        </w:rPr>
      </w:pPr>
      <w:r>
        <w:rPr>
          <w:rFonts w:ascii="Cooper Black" w:eastAsia="Times New Roman" w:hAnsi="Cooper Black" w:cs="Times New Roman"/>
          <w:bCs/>
          <w:color w:val="0033CC"/>
          <w:sz w:val="24"/>
          <w:szCs w:val="24"/>
        </w:rPr>
        <w:t xml:space="preserve">                                                </w:t>
      </w:r>
      <w:r w:rsidR="00DC7250">
        <w:rPr>
          <w:rFonts w:ascii="Cooper Black" w:eastAsia="Times New Roman" w:hAnsi="Cooper Black" w:cs="Times New Roman"/>
          <w:bCs/>
          <w:color w:val="0033CC"/>
          <w:sz w:val="24"/>
          <w:szCs w:val="24"/>
        </w:rPr>
        <w:t>2015</w:t>
      </w:r>
    </w:p>
    <w:p w:rsidR="00663631" w:rsidRDefault="00663631" w:rsidP="00663631">
      <w:pPr>
        <w:widowControl w:val="0"/>
        <w:spacing w:after="0" w:line="240" w:lineRule="auto"/>
        <w:rPr>
          <w:rFonts w:ascii="Cooper Black" w:eastAsia="Times New Roman" w:hAnsi="Cooper Black" w:cs="Times New Roman"/>
          <w:bCs/>
          <w:color w:val="0033CC"/>
          <w:sz w:val="24"/>
          <w:szCs w:val="24"/>
        </w:rPr>
      </w:pPr>
    </w:p>
    <w:p w:rsidR="00EF2B1C" w:rsidRDefault="00663631" w:rsidP="00EF2B1C">
      <w:pPr>
        <w:widowControl w:val="0"/>
        <w:spacing w:after="0" w:line="240" w:lineRule="auto"/>
        <w:rPr>
          <w:rFonts w:ascii="Cooper Black" w:eastAsia="Batang" w:hAnsi="Cooper Black" w:cs="Times New Roman"/>
          <w:sz w:val="20"/>
          <w:szCs w:val="20"/>
          <w:u w:val="single"/>
        </w:rPr>
      </w:pPr>
      <w:r w:rsidRPr="00663631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6D0BD" wp14:editId="50328FFE">
                <wp:simplePos x="0" y="0"/>
                <wp:positionH relativeFrom="column">
                  <wp:posOffset>-285750</wp:posOffset>
                </wp:positionH>
                <wp:positionV relativeFrom="paragraph">
                  <wp:posOffset>55245</wp:posOffset>
                </wp:positionV>
                <wp:extent cx="7362825" cy="0"/>
                <wp:effectExtent l="0" t="19050" r="9525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28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pt,4.35pt" to="557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" strokecolor="navy" strokeweight="2.25pt"/>
            </w:pict>
          </mc:Fallback>
        </mc:AlternateContent>
      </w:r>
    </w:p>
    <w:p w:rsidR="00EF2B1C" w:rsidRPr="00EF2B1C" w:rsidRDefault="00EF2B1C" w:rsidP="00EF2B1C">
      <w:pPr>
        <w:widowControl w:val="0"/>
        <w:spacing w:after="0" w:line="240" w:lineRule="auto"/>
        <w:rPr>
          <w:rFonts w:ascii="Cooper Black" w:eastAsia="Times New Roman" w:hAnsi="Cooper Black" w:cs="Times New Roman"/>
          <w:b/>
          <w:bCs/>
          <w:color w:val="0033CC"/>
        </w:rPr>
      </w:pPr>
      <w:r w:rsidRPr="00EF2B1C">
        <w:rPr>
          <w:rFonts w:ascii="Cooper Black" w:eastAsia="Batang" w:hAnsi="Cooper Black" w:cs="Times New Roman"/>
          <w:u w:val="single"/>
        </w:rPr>
        <w:t>Rate of Inflation at a Glance</w:t>
      </w:r>
    </w:p>
    <w:p w:rsidR="00EF2B1C" w:rsidRPr="00EF2B1C" w:rsidRDefault="00EF2B1C" w:rsidP="00EF2B1C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2662C5" w:rsidRDefault="00883F12" w:rsidP="00EF2B1C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The average Consumer Price Index (CPI) for 2015 was 104.94, reflecting a 0.9% average increase in overall </w:t>
      </w:r>
      <w:r w:rsidR="002662C5">
        <w:rPr>
          <w:rFonts w:ascii="Times New Roman" w:eastAsia="Batang" w:hAnsi="Times New Roman" w:cs="Times New Roman"/>
        </w:rPr>
        <w:t>prices for the year. Although prices continue</w:t>
      </w:r>
      <w:r w:rsidR="006A0FEB">
        <w:rPr>
          <w:rFonts w:ascii="Times New Roman" w:eastAsia="Batang" w:hAnsi="Times New Roman" w:cs="Times New Roman"/>
        </w:rPr>
        <w:t>d</w:t>
      </w:r>
      <w:r w:rsidR="002662C5">
        <w:rPr>
          <w:rFonts w:ascii="Times New Roman" w:eastAsia="Batang" w:hAnsi="Times New Roman" w:cs="Times New Roman"/>
        </w:rPr>
        <w:t xml:space="preserve"> to rise they did so at a decreasing rate</w:t>
      </w:r>
      <w:r w:rsidR="006A0FEB">
        <w:rPr>
          <w:rFonts w:ascii="Times New Roman" w:eastAsia="Batang" w:hAnsi="Times New Roman" w:cs="Times New Roman"/>
        </w:rPr>
        <w:t xml:space="preserve"> when compared to 2014</w:t>
      </w:r>
      <w:r w:rsidR="002662C5">
        <w:rPr>
          <w:rFonts w:ascii="Times New Roman" w:eastAsia="Batang" w:hAnsi="Times New Roman" w:cs="Times New Roman"/>
        </w:rPr>
        <w:t>. This 0.9% inflation is the lowest rate recorded since 2004 where a rate of 0.8% was registered. One year ago</w:t>
      </w:r>
      <w:r w:rsidR="00B16639">
        <w:rPr>
          <w:rFonts w:ascii="Times New Roman" w:eastAsia="Batang" w:hAnsi="Times New Roman" w:cs="Times New Roman"/>
        </w:rPr>
        <w:t xml:space="preserve"> in 2014</w:t>
      </w:r>
      <w:r w:rsidR="002662C5">
        <w:rPr>
          <w:rFonts w:ascii="Times New Roman" w:eastAsia="Batang" w:hAnsi="Times New Roman" w:cs="Times New Roman"/>
        </w:rPr>
        <w:t xml:space="preserve"> the inflation rate stood at 1.9%. </w:t>
      </w:r>
    </w:p>
    <w:p w:rsidR="002662C5" w:rsidRDefault="002662C5" w:rsidP="00EF2B1C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For the first five months of 2015 in</w:t>
      </w:r>
      <w:r w:rsidR="006A0FEB">
        <w:rPr>
          <w:rFonts w:ascii="Times New Roman" w:eastAsia="Batang" w:hAnsi="Times New Roman" w:cs="Times New Roman"/>
        </w:rPr>
        <w:t>flation was well over 1.0%. The rate</w:t>
      </w:r>
      <w:r>
        <w:rPr>
          <w:rFonts w:ascii="Times New Roman" w:eastAsia="Batang" w:hAnsi="Times New Roman" w:cs="Times New Roman"/>
        </w:rPr>
        <w:t xml:space="preserve"> d</w:t>
      </w:r>
      <w:r w:rsidR="006A0FEB">
        <w:rPr>
          <w:rFonts w:ascii="Times New Roman" w:eastAsia="Batang" w:hAnsi="Times New Roman" w:cs="Times New Roman"/>
        </w:rPr>
        <w:t xml:space="preserve">eclined </w:t>
      </w:r>
      <w:r>
        <w:rPr>
          <w:rFonts w:ascii="Times New Roman" w:eastAsia="Batang" w:hAnsi="Times New Roman" w:cs="Times New Roman"/>
        </w:rPr>
        <w:t>to 0.3% in June and remained steady (under 1.0%) for all months up until December</w:t>
      </w:r>
      <w:r w:rsidR="00B16639">
        <w:rPr>
          <w:rFonts w:ascii="Times New Roman" w:eastAsia="Batang" w:hAnsi="Times New Roman" w:cs="Times New Roman"/>
        </w:rPr>
        <w:t xml:space="preserve">, </w:t>
      </w:r>
      <w:r>
        <w:rPr>
          <w:rFonts w:ascii="Times New Roman" w:eastAsia="Batang" w:hAnsi="Times New Roman" w:cs="Times New Roman"/>
        </w:rPr>
        <w:t>where prices rose again</w:t>
      </w:r>
      <w:r w:rsidR="00B16639">
        <w:rPr>
          <w:rFonts w:ascii="Times New Roman" w:eastAsia="Batang" w:hAnsi="Times New Roman" w:cs="Times New Roman"/>
        </w:rPr>
        <w:t xml:space="preserve"> </w:t>
      </w:r>
      <w:r>
        <w:rPr>
          <w:rFonts w:ascii="Times New Roman" w:eastAsia="Batang" w:hAnsi="Times New Roman" w:cs="Times New Roman"/>
        </w:rPr>
        <w:t xml:space="preserve">recording </w:t>
      </w:r>
      <w:r w:rsidR="00B16639">
        <w:rPr>
          <w:rFonts w:ascii="Times New Roman" w:eastAsia="Batang" w:hAnsi="Times New Roman" w:cs="Times New Roman"/>
        </w:rPr>
        <w:t xml:space="preserve">an </w:t>
      </w:r>
      <w:r>
        <w:rPr>
          <w:rFonts w:ascii="Times New Roman" w:eastAsia="Batang" w:hAnsi="Times New Roman" w:cs="Times New Roman"/>
        </w:rPr>
        <w:t xml:space="preserve">inflation rate of 1.1%. </w:t>
      </w:r>
    </w:p>
    <w:p w:rsidR="00B16639" w:rsidRDefault="00B16639" w:rsidP="00EF2B1C">
      <w:pPr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:rsidR="009406DD" w:rsidRDefault="00B16639" w:rsidP="00EF2B1C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This rather low inflation </w:t>
      </w:r>
      <w:r w:rsidR="009406DD">
        <w:rPr>
          <w:rFonts w:ascii="Times New Roman" w:eastAsia="Batang" w:hAnsi="Times New Roman" w:cs="Times New Roman"/>
        </w:rPr>
        <w:t xml:space="preserve">of 0.9% </w:t>
      </w:r>
      <w:r>
        <w:rPr>
          <w:rFonts w:ascii="Times New Roman" w:eastAsia="Batang" w:hAnsi="Times New Roman" w:cs="Times New Roman"/>
        </w:rPr>
        <w:t>for</w:t>
      </w:r>
      <w:r w:rsidR="002662C5">
        <w:rPr>
          <w:rFonts w:ascii="Times New Roman" w:eastAsia="Batang" w:hAnsi="Times New Roman" w:cs="Times New Roman"/>
        </w:rPr>
        <w:t xml:space="preserve"> 2015 can be attributed to </w:t>
      </w:r>
      <w:r w:rsidR="00C23371">
        <w:rPr>
          <w:rFonts w:ascii="Times New Roman" w:eastAsia="Batang" w:hAnsi="Times New Roman" w:cs="Times New Roman"/>
        </w:rPr>
        <w:t>the substantial decline in the t</w:t>
      </w:r>
      <w:r w:rsidR="002662C5">
        <w:rPr>
          <w:rFonts w:ascii="Times New Roman" w:eastAsia="Batang" w:hAnsi="Times New Roman" w:cs="Times New Roman"/>
        </w:rPr>
        <w:t xml:space="preserve">ransportation index which fell from 105.15 in 2014 to 101.78 in 2015, representing a 3.2% decrease. As transportation accounts for approximately 13.0% of the Consumer Price Index and is the </w:t>
      </w:r>
      <w:r w:rsidR="007D42FD">
        <w:rPr>
          <w:rFonts w:ascii="Times New Roman" w:eastAsia="Batang" w:hAnsi="Times New Roman" w:cs="Times New Roman"/>
        </w:rPr>
        <w:t>third</w:t>
      </w:r>
      <w:r w:rsidR="002662C5">
        <w:rPr>
          <w:rFonts w:ascii="Times New Roman" w:eastAsia="Batang" w:hAnsi="Times New Roman" w:cs="Times New Roman"/>
        </w:rPr>
        <w:t xml:space="preserve"> most significant subgroup, price changes</w:t>
      </w:r>
      <w:r w:rsidR="009406DD">
        <w:rPr>
          <w:rFonts w:ascii="Times New Roman" w:eastAsia="Batang" w:hAnsi="Times New Roman" w:cs="Times New Roman"/>
        </w:rPr>
        <w:t xml:space="preserve"> in this category</w:t>
      </w:r>
      <w:r w:rsidR="002662C5">
        <w:rPr>
          <w:rFonts w:ascii="Times New Roman" w:eastAsia="Batang" w:hAnsi="Times New Roman" w:cs="Times New Roman"/>
        </w:rPr>
        <w:t xml:space="preserve"> can have a </w:t>
      </w:r>
      <w:r w:rsidR="006A0FEB">
        <w:rPr>
          <w:rFonts w:ascii="Times New Roman" w:eastAsia="Batang" w:hAnsi="Times New Roman" w:cs="Times New Roman"/>
        </w:rPr>
        <w:t xml:space="preserve">notable </w:t>
      </w:r>
      <w:r w:rsidR="002662C5">
        <w:rPr>
          <w:rFonts w:ascii="Times New Roman" w:eastAsia="Batang" w:hAnsi="Times New Roman" w:cs="Times New Roman"/>
        </w:rPr>
        <w:t xml:space="preserve">impact on the overall Consumer Price Index and inflation rate. </w:t>
      </w:r>
    </w:p>
    <w:p w:rsidR="009406DD" w:rsidRDefault="009406DD" w:rsidP="00EF2B1C">
      <w:pPr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:rsidR="00C23371" w:rsidRPr="005F3C85" w:rsidRDefault="00C23371" w:rsidP="00EF2B1C">
      <w:pPr>
        <w:spacing w:after="0" w:line="240" w:lineRule="auto"/>
        <w:jc w:val="both"/>
        <w:rPr>
          <w:rFonts w:ascii="Cooper Black" w:eastAsia="Batang" w:hAnsi="Cooper Black" w:cs="Times New Roman"/>
          <w:u w:val="single"/>
        </w:rPr>
      </w:pPr>
      <w:r w:rsidRPr="005F3C85">
        <w:rPr>
          <w:rFonts w:ascii="Cooper Black" w:eastAsia="Batang" w:hAnsi="Cooper Black" w:cs="Times New Roman"/>
          <w:u w:val="single"/>
        </w:rPr>
        <w:t xml:space="preserve">Annual Comparison </w:t>
      </w:r>
    </w:p>
    <w:p w:rsidR="00C23371" w:rsidRDefault="00C23371" w:rsidP="00EF2B1C">
      <w:pPr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:rsidR="00895EFD" w:rsidRPr="00C23371" w:rsidRDefault="00B16639" w:rsidP="00EF2B1C">
      <w:pPr>
        <w:spacing w:after="0" w:line="240" w:lineRule="auto"/>
        <w:jc w:val="both"/>
        <w:rPr>
          <w:rFonts w:ascii="Times New Roman" w:eastAsia="Batang" w:hAnsi="Times New Roman" w:cs="Times New Roman"/>
          <w:b/>
        </w:rPr>
      </w:pPr>
      <w:r w:rsidRPr="00C23371">
        <w:rPr>
          <w:rFonts w:ascii="Times New Roman" w:eastAsia="Batang" w:hAnsi="Times New Roman" w:cs="Times New Roman"/>
          <w:b/>
        </w:rPr>
        <w:t>Transportation</w:t>
      </w:r>
    </w:p>
    <w:p w:rsidR="002662C5" w:rsidRDefault="00895EFD" w:rsidP="00EF2B1C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Transportation </w:t>
      </w:r>
      <w:r w:rsidR="00B16639">
        <w:rPr>
          <w:rFonts w:ascii="Times New Roman" w:eastAsia="Batang" w:hAnsi="Times New Roman" w:cs="Times New Roman"/>
        </w:rPr>
        <w:t xml:space="preserve">prices fell continuously throughout the year, as a result of decreasing fuel prices. Fuel prices dropped from </w:t>
      </w:r>
      <w:r w:rsidR="008910C8">
        <w:rPr>
          <w:rFonts w:ascii="Times New Roman" w:eastAsia="Batang" w:hAnsi="Times New Roman" w:cs="Times New Roman"/>
        </w:rPr>
        <w:t xml:space="preserve">an average of </w:t>
      </w:r>
      <w:r w:rsidR="003D141A">
        <w:rPr>
          <w:rFonts w:ascii="Times New Roman" w:eastAsia="Batang" w:hAnsi="Times New Roman" w:cs="Times New Roman"/>
        </w:rPr>
        <w:t>$</w:t>
      </w:r>
      <w:r w:rsidR="00B16639">
        <w:rPr>
          <w:rFonts w:ascii="Times New Roman" w:eastAsia="Batang" w:hAnsi="Times New Roman" w:cs="Times New Roman"/>
        </w:rPr>
        <w:t xml:space="preserve">3.65 in January to </w:t>
      </w:r>
      <w:r w:rsidR="003D141A">
        <w:rPr>
          <w:rFonts w:ascii="Times New Roman" w:eastAsia="Batang" w:hAnsi="Times New Roman" w:cs="Times New Roman"/>
        </w:rPr>
        <w:t>$</w:t>
      </w:r>
      <w:r w:rsidR="00B16639">
        <w:rPr>
          <w:rFonts w:ascii="Times New Roman" w:eastAsia="Batang" w:hAnsi="Times New Roman" w:cs="Times New Roman"/>
        </w:rPr>
        <w:t>3.19 at the end of December 2015;</w:t>
      </w:r>
      <w:r w:rsidR="003D141A">
        <w:rPr>
          <w:rFonts w:ascii="Times New Roman" w:eastAsia="Batang" w:hAnsi="Times New Roman" w:cs="Times New Roman"/>
        </w:rPr>
        <w:t xml:space="preserve"> </w:t>
      </w:r>
      <w:r w:rsidR="00B16639">
        <w:rPr>
          <w:rFonts w:ascii="Times New Roman" w:eastAsia="Batang" w:hAnsi="Times New Roman" w:cs="Times New Roman"/>
        </w:rPr>
        <w:t xml:space="preserve">decreasing on average by </w:t>
      </w:r>
      <w:r w:rsidR="003D141A">
        <w:rPr>
          <w:rFonts w:ascii="Times New Roman" w:eastAsia="Batang" w:hAnsi="Times New Roman" w:cs="Times New Roman"/>
        </w:rPr>
        <w:t>12.6% for the year. When comparing</w:t>
      </w:r>
      <w:r w:rsidR="008910C8">
        <w:rPr>
          <w:rFonts w:ascii="Times New Roman" w:eastAsia="Batang" w:hAnsi="Times New Roman" w:cs="Times New Roman"/>
        </w:rPr>
        <w:t xml:space="preserve"> 2015</w:t>
      </w:r>
      <w:r w:rsidR="003D141A">
        <w:rPr>
          <w:rFonts w:ascii="Times New Roman" w:eastAsia="Batang" w:hAnsi="Times New Roman" w:cs="Times New Roman"/>
        </w:rPr>
        <w:t xml:space="preserve"> prices to 2014, the average price of gasoline fell by 22.4% and diesel by 23.6%. </w:t>
      </w:r>
      <w:r w:rsidR="00E753DC">
        <w:rPr>
          <w:rFonts w:ascii="Times New Roman" w:eastAsia="Batang" w:hAnsi="Times New Roman" w:cs="Times New Roman"/>
        </w:rPr>
        <w:t xml:space="preserve">The </w:t>
      </w:r>
      <w:r w:rsidR="00AD1A62">
        <w:rPr>
          <w:rFonts w:ascii="Times New Roman" w:eastAsia="Batang" w:hAnsi="Times New Roman" w:cs="Times New Roman"/>
        </w:rPr>
        <w:t>reduction</w:t>
      </w:r>
      <w:r w:rsidR="00E753DC">
        <w:rPr>
          <w:rFonts w:ascii="Times New Roman" w:eastAsia="Batang" w:hAnsi="Times New Roman" w:cs="Times New Roman"/>
        </w:rPr>
        <w:t xml:space="preserve"> in fuel prices had a </w:t>
      </w:r>
      <w:r w:rsidR="008910C8">
        <w:rPr>
          <w:rFonts w:ascii="Times New Roman" w:eastAsia="Batang" w:hAnsi="Times New Roman" w:cs="Times New Roman"/>
        </w:rPr>
        <w:t>substantial</w:t>
      </w:r>
      <w:r w:rsidR="00E753DC">
        <w:rPr>
          <w:rFonts w:ascii="Times New Roman" w:eastAsia="Batang" w:hAnsi="Times New Roman" w:cs="Times New Roman"/>
        </w:rPr>
        <w:t xml:space="preserve"> impact on other services under the transportation subgroup. Both airfare and electricity were impacted by the low fuel prices. </w:t>
      </w:r>
      <w:r w:rsidR="00AD1A62">
        <w:rPr>
          <w:rFonts w:ascii="Times New Roman" w:eastAsia="Batang" w:hAnsi="Times New Roman" w:cs="Times New Roman"/>
        </w:rPr>
        <w:t xml:space="preserve">Although not significant, airfare prices fell by 2.4%. The average price of electricity on the other hand fell by 22.3% when compared to 2014. </w:t>
      </w:r>
    </w:p>
    <w:p w:rsidR="005868F7" w:rsidRDefault="005868F7" w:rsidP="00EF2B1C">
      <w:pPr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:rsidR="00895EFD" w:rsidRPr="00C23371" w:rsidRDefault="005868F7" w:rsidP="00EF2B1C">
      <w:pPr>
        <w:spacing w:after="0" w:line="240" w:lineRule="auto"/>
        <w:jc w:val="both"/>
        <w:rPr>
          <w:rFonts w:ascii="Times New Roman" w:eastAsia="Batang" w:hAnsi="Times New Roman" w:cs="Times New Roman"/>
          <w:b/>
        </w:rPr>
      </w:pPr>
      <w:r w:rsidRPr="00C23371">
        <w:rPr>
          <w:rFonts w:ascii="Times New Roman" w:eastAsia="Batang" w:hAnsi="Times New Roman" w:cs="Times New Roman"/>
          <w:b/>
        </w:rPr>
        <w:t>Health Services</w:t>
      </w:r>
    </w:p>
    <w:p w:rsidR="005868F7" w:rsidRDefault="00895EFD" w:rsidP="00EF2B1C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This </w:t>
      </w:r>
      <w:r w:rsidR="005868F7">
        <w:rPr>
          <w:rFonts w:ascii="Times New Roman" w:eastAsia="Batang" w:hAnsi="Times New Roman" w:cs="Times New Roman"/>
        </w:rPr>
        <w:t xml:space="preserve">subgroup recorded the highest growth in prices for 2015. </w:t>
      </w:r>
      <w:r w:rsidR="00840C1D">
        <w:rPr>
          <w:rFonts w:ascii="Times New Roman" w:eastAsia="Batang" w:hAnsi="Times New Roman" w:cs="Times New Roman"/>
        </w:rPr>
        <w:t>The average price of health services increased</w:t>
      </w:r>
      <w:r w:rsidR="0079502A">
        <w:rPr>
          <w:rFonts w:ascii="Times New Roman" w:eastAsia="Batang" w:hAnsi="Times New Roman" w:cs="Times New Roman"/>
        </w:rPr>
        <w:t xml:space="preserve"> by 8.2% between 2014 and 2015a</w:t>
      </w:r>
      <w:r w:rsidR="00840C1D">
        <w:rPr>
          <w:rFonts w:ascii="Times New Roman" w:eastAsia="Batang" w:hAnsi="Times New Roman" w:cs="Times New Roman"/>
        </w:rPr>
        <w:t xml:space="preserve">s a result of an increase in the hospital fees implemented by the BVI Health Services Authority in February. Prices of the following health services rose significantly in 2015: consultation up a general physician (up 36.4%); public hospital care (up 22.5%) and services for medical laboratories (up 16.7%). </w:t>
      </w:r>
    </w:p>
    <w:p w:rsidR="00840C1D" w:rsidRDefault="00840C1D" w:rsidP="00EF2B1C">
      <w:pPr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:rsidR="00895EFD" w:rsidRPr="00C23371" w:rsidRDefault="00840C1D" w:rsidP="00EF2B1C">
      <w:pPr>
        <w:spacing w:after="0" w:line="240" w:lineRule="auto"/>
        <w:jc w:val="both"/>
        <w:rPr>
          <w:rFonts w:ascii="Times New Roman" w:eastAsia="Batang" w:hAnsi="Times New Roman" w:cs="Times New Roman"/>
          <w:b/>
        </w:rPr>
      </w:pPr>
      <w:r w:rsidRPr="00C23371">
        <w:rPr>
          <w:rFonts w:ascii="Times New Roman" w:eastAsia="Batang" w:hAnsi="Times New Roman" w:cs="Times New Roman"/>
          <w:b/>
        </w:rPr>
        <w:t xml:space="preserve">Recreation and Culture </w:t>
      </w:r>
    </w:p>
    <w:p w:rsidR="00840C1D" w:rsidRDefault="00895EFD" w:rsidP="00EF2B1C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P</w:t>
      </w:r>
      <w:r w:rsidR="00840C1D">
        <w:rPr>
          <w:rFonts w:ascii="Times New Roman" w:eastAsia="Batang" w:hAnsi="Times New Roman" w:cs="Times New Roman"/>
        </w:rPr>
        <w:t xml:space="preserve">rices </w:t>
      </w:r>
      <w:r>
        <w:rPr>
          <w:rFonts w:ascii="Times New Roman" w:eastAsia="Batang" w:hAnsi="Times New Roman" w:cs="Times New Roman"/>
        </w:rPr>
        <w:t>of items under the r</w:t>
      </w:r>
      <w:r w:rsidR="00840C1D">
        <w:rPr>
          <w:rFonts w:ascii="Times New Roman" w:eastAsia="Batang" w:hAnsi="Times New Roman" w:cs="Times New Roman"/>
        </w:rPr>
        <w:t xml:space="preserve">ecreation and culture category rose by 5.5% as the price of the following items increased: </w:t>
      </w:r>
      <w:r>
        <w:rPr>
          <w:rFonts w:ascii="Times New Roman" w:eastAsia="Batang" w:hAnsi="Times New Roman" w:cs="Times New Roman"/>
        </w:rPr>
        <w:t xml:space="preserve">books and magazines (up 26.2%), vacation packages (up 23.2%) and toys and games (up 17.4%). </w:t>
      </w:r>
    </w:p>
    <w:p w:rsidR="00895EFD" w:rsidRDefault="00895EFD" w:rsidP="00EF2B1C">
      <w:pPr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:rsidR="00C23371" w:rsidRPr="00C23371" w:rsidRDefault="00C23371" w:rsidP="00EF2B1C">
      <w:pPr>
        <w:spacing w:after="0" w:line="240" w:lineRule="auto"/>
        <w:jc w:val="both"/>
        <w:rPr>
          <w:rFonts w:ascii="Times New Roman" w:eastAsia="Batang" w:hAnsi="Times New Roman" w:cs="Times New Roman"/>
          <w:b/>
        </w:rPr>
      </w:pPr>
      <w:r w:rsidRPr="00C23371">
        <w:rPr>
          <w:rFonts w:ascii="Times New Roman" w:eastAsia="Batang" w:hAnsi="Times New Roman" w:cs="Times New Roman"/>
          <w:b/>
        </w:rPr>
        <w:t>Clothing and Footwear</w:t>
      </w:r>
    </w:p>
    <w:p w:rsidR="00895EFD" w:rsidRDefault="00895EFD" w:rsidP="00EF2B1C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Clothing and Footwear prices increased by 3.7% as the average price of clothing and footwear went up by 5.9</w:t>
      </w:r>
      <w:r w:rsidR="00C23371">
        <w:rPr>
          <w:rFonts w:ascii="Times New Roman" w:eastAsia="Batang" w:hAnsi="Times New Roman" w:cs="Times New Roman"/>
        </w:rPr>
        <w:t>% and</w:t>
      </w:r>
      <w:r>
        <w:rPr>
          <w:rFonts w:ascii="Times New Roman" w:eastAsia="Batang" w:hAnsi="Times New Roman" w:cs="Times New Roman"/>
        </w:rPr>
        <w:t xml:space="preserve"> 9.7% respectively. </w:t>
      </w:r>
    </w:p>
    <w:p w:rsidR="003A0EF4" w:rsidRDefault="003A0EF4" w:rsidP="00EF2B1C">
      <w:pPr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:rsidR="003A0EF4" w:rsidRPr="00C23371" w:rsidRDefault="003A0EF4" w:rsidP="00EF2B1C">
      <w:pPr>
        <w:spacing w:after="0" w:line="240" w:lineRule="auto"/>
        <w:jc w:val="both"/>
        <w:rPr>
          <w:rFonts w:ascii="Times New Roman" w:eastAsia="Batang" w:hAnsi="Times New Roman" w:cs="Times New Roman"/>
          <w:b/>
        </w:rPr>
      </w:pPr>
      <w:r w:rsidRPr="00C23371">
        <w:rPr>
          <w:rFonts w:ascii="Times New Roman" w:eastAsia="Batang" w:hAnsi="Times New Roman" w:cs="Times New Roman"/>
          <w:b/>
        </w:rPr>
        <w:t xml:space="preserve">Food and Beverages </w:t>
      </w:r>
    </w:p>
    <w:p w:rsidR="00694FB3" w:rsidRDefault="0046075A" w:rsidP="00EF2B1C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Food and Beverage price index increased by 2.0% when compared to 2014. This rise in prices was mainly due to increases in the average price of the following food and beverage items </w:t>
      </w:r>
      <w:r w:rsidR="007A5AC4">
        <w:rPr>
          <w:rFonts w:ascii="Times New Roman" w:eastAsia="Batang" w:hAnsi="Times New Roman" w:cs="Times New Roman"/>
        </w:rPr>
        <w:t>dairy products (up 15.0%); meat items (up 7.6%); vegetables (up 6.5%); sugars and confectionery (up 6.4%); non-alcoholic beverages (up 4.2%); alcoholic beverages (up 3.6% and fruits (up 3.5%).</w:t>
      </w:r>
    </w:p>
    <w:p w:rsidR="007A5AC4" w:rsidRDefault="007A5AC4" w:rsidP="00EF2B1C">
      <w:pPr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:rsidR="007A5AC4" w:rsidRDefault="007A5AC4" w:rsidP="00EF2B1C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The other subgroups recorded minor changes in prices. </w:t>
      </w:r>
    </w:p>
    <w:p w:rsidR="007A5AC4" w:rsidRDefault="007A5AC4" w:rsidP="007A5AC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Education (up 1.0%)</w:t>
      </w:r>
    </w:p>
    <w:p w:rsidR="007A5AC4" w:rsidRDefault="007A5AC4" w:rsidP="007A5AC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lastRenderedPageBreak/>
        <w:t>Restaurant and Hotel Services (up 1.0%)</w:t>
      </w:r>
    </w:p>
    <w:p w:rsidR="007A5AC4" w:rsidRDefault="007A5AC4" w:rsidP="007A5AC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Housing and Utilities (up 0.7%)</w:t>
      </w:r>
    </w:p>
    <w:p w:rsidR="007A5AC4" w:rsidRDefault="007A5AC4" w:rsidP="007A5AC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Miscellaneous Goods and Services (up 0.7%)</w:t>
      </w:r>
    </w:p>
    <w:p w:rsidR="007A5AC4" w:rsidRDefault="007A5AC4" w:rsidP="007A5AC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Furniture and Household Equipment (up 0.6%)</w:t>
      </w:r>
    </w:p>
    <w:p w:rsidR="007A5AC4" w:rsidRDefault="007A5AC4" w:rsidP="007A5AC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Communication (up 0.6%)</w:t>
      </w:r>
    </w:p>
    <w:p w:rsidR="00C23371" w:rsidRDefault="00C23371" w:rsidP="00F15980">
      <w:pPr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:rsidR="00C23371" w:rsidRDefault="00C23371" w:rsidP="00F15980">
      <w:pPr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:rsidR="00F15980" w:rsidRPr="005F3C85" w:rsidRDefault="00F15980" w:rsidP="00F15980">
      <w:pPr>
        <w:spacing w:after="0" w:line="240" w:lineRule="auto"/>
        <w:jc w:val="both"/>
        <w:rPr>
          <w:rFonts w:ascii="Cooper Black" w:eastAsia="Batang" w:hAnsi="Cooper Black" w:cs="Times New Roman"/>
          <w:u w:val="single"/>
        </w:rPr>
      </w:pPr>
      <w:r w:rsidRPr="005F3C85">
        <w:rPr>
          <w:rFonts w:ascii="Cooper Black" w:eastAsia="Batang" w:hAnsi="Cooper Black" w:cs="Times New Roman"/>
          <w:u w:val="single"/>
        </w:rPr>
        <w:t xml:space="preserve">Monthly Highlights </w:t>
      </w:r>
    </w:p>
    <w:p w:rsidR="00F15980" w:rsidRDefault="00F15980" w:rsidP="00F15980">
      <w:pPr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:rsidR="00F15980" w:rsidRDefault="00F15980" w:rsidP="00F15980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April recorded the largest increase in prices. Average prices </w:t>
      </w:r>
      <w:r w:rsidR="0013532B">
        <w:rPr>
          <w:rFonts w:ascii="Times New Roman" w:eastAsia="Batang" w:hAnsi="Times New Roman" w:cs="Times New Roman"/>
        </w:rPr>
        <w:t xml:space="preserve">in April rose by 1.5% as the prices of items in the following subgroups went up: Health Services; Recreation and Culture; Clothing and Footwear; Housing and Utilities; Furniture and Household Equipment; Restaurant and Hotel Services; Food and Beverages; Communication and Miscellaneous Goods and Services. </w:t>
      </w:r>
    </w:p>
    <w:p w:rsidR="0013532B" w:rsidRDefault="0013532B" w:rsidP="00F15980">
      <w:pPr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:rsidR="0013532B" w:rsidRPr="00F15980" w:rsidRDefault="0013532B" w:rsidP="00F15980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Meanwhile June recorded the smallest increase as prices only </w:t>
      </w:r>
      <w:r w:rsidR="008910C8">
        <w:rPr>
          <w:rFonts w:ascii="Times New Roman" w:eastAsia="Batang" w:hAnsi="Times New Roman" w:cs="Times New Roman"/>
        </w:rPr>
        <w:t>increased</w:t>
      </w:r>
      <w:r>
        <w:rPr>
          <w:rFonts w:ascii="Times New Roman" w:eastAsia="Batang" w:hAnsi="Times New Roman" w:cs="Times New Roman"/>
        </w:rPr>
        <w:t xml:space="preserve"> by 0.3%.</w:t>
      </w:r>
    </w:p>
    <w:p w:rsidR="0096716A" w:rsidRDefault="0096716A" w:rsidP="00E9132A">
      <w:pPr>
        <w:spacing w:after="0" w:line="240" w:lineRule="auto"/>
        <w:jc w:val="center"/>
        <w:rPr>
          <w:rFonts w:ascii="Cooper Black" w:eastAsia="Batang" w:hAnsi="Cooper Black" w:cs="Times New Roman"/>
          <w:bCs/>
          <w:u w:val="single"/>
        </w:rPr>
      </w:pPr>
    </w:p>
    <w:p w:rsidR="0026330A" w:rsidRDefault="0026330A" w:rsidP="009E0E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298E" w:rsidRDefault="0012298E" w:rsidP="009E0E1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6841" w:type="dxa"/>
        <w:jc w:val="center"/>
        <w:tblInd w:w="93" w:type="dxa"/>
        <w:tblLook w:val="04A0" w:firstRow="1" w:lastRow="0" w:firstColumn="1" w:lastColumn="0" w:noHBand="0" w:noVBand="1"/>
      </w:tblPr>
      <w:tblGrid>
        <w:gridCol w:w="3671"/>
        <w:gridCol w:w="849"/>
        <w:gridCol w:w="656"/>
        <w:gridCol w:w="656"/>
        <w:gridCol w:w="1099"/>
      </w:tblGrid>
      <w:tr w:rsidR="00FE1DFD" w:rsidRPr="00FE1DFD" w:rsidTr="00FE1DFD">
        <w:trPr>
          <w:trHeight w:val="300"/>
          <w:jc w:val="center"/>
        </w:trPr>
        <w:tc>
          <w:tcPr>
            <w:tcW w:w="6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sz w:val="18"/>
                <w:szCs w:val="18"/>
              </w:rPr>
            </w:pPr>
            <w:r w:rsidRPr="00FE1DFD">
              <w:rPr>
                <w:rFonts w:ascii="Century Schoolbook" w:eastAsia="Times New Roman" w:hAnsi="Century Schoolbook" w:cs="Calibri"/>
                <w:b/>
                <w:bCs/>
                <w:sz w:val="18"/>
                <w:szCs w:val="18"/>
              </w:rPr>
              <w:t xml:space="preserve">CONSUMER PRICE INDEX 2014 and 2015 </w:t>
            </w:r>
          </w:p>
        </w:tc>
      </w:tr>
      <w:tr w:rsidR="00FE1DFD" w:rsidRPr="00FE1DFD" w:rsidTr="00FE1DFD">
        <w:trPr>
          <w:trHeight w:val="300"/>
          <w:jc w:val="center"/>
        </w:trPr>
        <w:tc>
          <w:tcPr>
            <w:tcW w:w="6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sz w:val="18"/>
                <w:szCs w:val="18"/>
              </w:rPr>
            </w:pPr>
            <w:r w:rsidRPr="00FE1DFD">
              <w:rPr>
                <w:rFonts w:ascii="Century Schoolbook" w:eastAsia="Times New Roman" w:hAnsi="Century Schoolbook" w:cs="Calibri"/>
                <w:b/>
                <w:bCs/>
                <w:sz w:val="18"/>
                <w:szCs w:val="18"/>
              </w:rPr>
              <w:t xml:space="preserve">              (January 2012=100)</w:t>
            </w:r>
          </w:p>
        </w:tc>
      </w:tr>
      <w:tr w:rsidR="00FE1DFD" w:rsidRPr="00FE1DFD" w:rsidTr="00FE1DFD">
        <w:trPr>
          <w:trHeight w:val="300"/>
          <w:jc w:val="center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DFD" w:rsidRPr="00FE1DFD" w:rsidTr="00FE1DFD">
        <w:trPr>
          <w:trHeight w:val="300"/>
          <w:jc w:val="center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1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Subgroups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1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Weight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1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1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1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Change </w:t>
            </w:r>
          </w:p>
        </w:tc>
      </w:tr>
      <w:tr w:rsidR="00FE1DFD" w:rsidRPr="00FE1DFD" w:rsidTr="00FE1DFD">
        <w:trPr>
          <w:trHeight w:val="300"/>
          <w:jc w:val="center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Food &amp; Non-Alcoholic Beverages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DFD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1DFD">
              <w:rPr>
                <w:rFonts w:ascii="Times New Roman" w:eastAsia="Times New Roman" w:hAnsi="Times New Roman" w:cs="Times New Roman"/>
                <w:sz w:val="16"/>
                <w:szCs w:val="16"/>
              </w:rPr>
              <w:t>107.26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1DFD">
              <w:rPr>
                <w:rFonts w:ascii="Times New Roman" w:eastAsia="Times New Roman" w:hAnsi="Times New Roman" w:cs="Times New Roman"/>
                <w:sz w:val="16"/>
                <w:szCs w:val="16"/>
              </w:rPr>
              <w:t>106.08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1DFD">
              <w:rPr>
                <w:rFonts w:ascii="Times New Roman" w:eastAsia="Times New Roman" w:hAnsi="Times New Roman" w:cs="Times New Roman"/>
                <w:sz w:val="18"/>
                <w:szCs w:val="18"/>
              </w:rPr>
              <w:t>1.10</w:t>
            </w:r>
          </w:p>
        </w:tc>
      </w:tr>
      <w:tr w:rsidR="00FE1DFD" w:rsidRPr="00FE1DFD" w:rsidTr="00FE1DFD">
        <w:trPr>
          <w:trHeight w:val="300"/>
          <w:jc w:val="center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Alcoholic Beverages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DF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1DFD">
              <w:rPr>
                <w:rFonts w:ascii="Times New Roman" w:eastAsia="Times New Roman" w:hAnsi="Times New Roman" w:cs="Times New Roman"/>
                <w:sz w:val="16"/>
                <w:szCs w:val="16"/>
              </w:rPr>
              <w:t>103.69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1DFD">
              <w:rPr>
                <w:rFonts w:ascii="Times New Roman" w:eastAsia="Times New Roman" w:hAnsi="Times New Roman" w:cs="Times New Roman"/>
                <w:sz w:val="16"/>
                <w:szCs w:val="16"/>
              </w:rPr>
              <w:t>100.82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1DFD">
              <w:rPr>
                <w:rFonts w:ascii="Times New Roman" w:eastAsia="Times New Roman" w:hAnsi="Times New Roman" w:cs="Times New Roman"/>
                <w:sz w:val="18"/>
                <w:szCs w:val="18"/>
              </w:rPr>
              <w:t>2.84</w:t>
            </w:r>
          </w:p>
        </w:tc>
      </w:tr>
      <w:tr w:rsidR="00FE1DFD" w:rsidRPr="00FE1DFD" w:rsidTr="00FE1DFD">
        <w:trPr>
          <w:trHeight w:val="300"/>
          <w:jc w:val="center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DFD">
              <w:rPr>
                <w:rFonts w:ascii="Times New Roman" w:eastAsia="Times New Roman" w:hAnsi="Times New Roman" w:cs="Times New Roman"/>
                <w:sz w:val="20"/>
                <w:szCs w:val="20"/>
              </w:rPr>
              <w:t>Clothing &amp; Footwear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DFD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1DFD">
              <w:rPr>
                <w:rFonts w:ascii="Times New Roman" w:eastAsia="Times New Roman" w:hAnsi="Times New Roman" w:cs="Times New Roman"/>
                <w:sz w:val="16"/>
                <w:szCs w:val="16"/>
              </w:rPr>
              <w:t>106.31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1DFD">
              <w:rPr>
                <w:rFonts w:ascii="Times New Roman" w:eastAsia="Times New Roman" w:hAnsi="Times New Roman" w:cs="Times New Roman"/>
                <w:sz w:val="16"/>
                <w:szCs w:val="16"/>
              </w:rPr>
              <w:t>102.53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1DFD">
              <w:rPr>
                <w:rFonts w:ascii="Times New Roman" w:eastAsia="Times New Roman" w:hAnsi="Times New Roman" w:cs="Times New Roman"/>
                <w:sz w:val="18"/>
                <w:szCs w:val="18"/>
              </w:rPr>
              <w:t>3.69</w:t>
            </w:r>
          </w:p>
        </w:tc>
      </w:tr>
      <w:tr w:rsidR="00FE1DFD" w:rsidRPr="00FE1DFD" w:rsidTr="00FE1DFD">
        <w:trPr>
          <w:trHeight w:val="300"/>
          <w:jc w:val="center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Housing &amp; Utilities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DFD"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1DFD">
              <w:rPr>
                <w:rFonts w:ascii="Times New Roman" w:eastAsia="Times New Roman" w:hAnsi="Times New Roman" w:cs="Times New Roman"/>
                <w:sz w:val="16"/>
                <w:szCs w:val="16"/>
              </w:rPr>
              <w:t>102.30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1DFD">
              <w:rPr>
                <w:rFonts w:ascii="Times New Roman" w:eastAsia="Times New Roman" w:hAnsi="Times New Roman" w:cs="Times New Roman"/>
                <w:sz w:val="16"/>
                <w:szCs w:val="16"/>
              </w:rPr>
              <w:t>101.64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1DFD">
              <w:rPr>
                <w:rFonts w:ascii="Times New Roman" w:eastAsia="Times New Roman" w:hAnsi="Times New Roman" w:cs="Times New Roman"/>
                <w:sz w:val="18"/>
                <w:szCs w:val="18"/>
              </w:rPr>
              <w:t>0.65</w:t>
            </w:r>
          </w:p>
        </w:tc>
      </w:tr>
      <w:tr w:rsidR="00FE1DFD" w:rsidRPr="00FE1DFD" w:rsidTr="00FE1DFD">
        <w:trPr>
          <w:trHeight w:val="300"/>
          <w:jc w:val="center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Furniture &amp; Household Equipment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DFD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1DFD">
              <w:rPr>
                <w:rFonts w:ascii="Times New Roman" w:eastAsia="Times New Roman" w:hAnsi="Times New Roman" w:cs="Times New Roman"/>
                <w:sz w:val="16"/>
                <w:szCs w:val="16"/>
              </w:rPr>
              <w:t>100.62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1DFD">
              <w:rPr>
                <w:rFonts w:ascii="Times New Roman" w:eastAsia="Times New Roman" w:hAnsi="Times New Roman" w:cs="Times New Roman"/>
                <w:sz w:val="16"/>
                <w:szCs w:val="16"/>
              </w:rPr>
              <w:t>100.06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1DFD">
              <w:rPr>
                <w:rFonts w:ascii="Times New Roman" w:eastAsia="Times New Roman" w:hAnsi="Times New Roman" w:cs="Times New Roman"/>
                <w:sz w:val="18"/>
                <w:szCs w:val="18"/>
              </w:rPr>
              <w:t>0.57</w:t>
            </w:r>
          </w:p>
        </w:tc>
      </w:tr>
      <w:tr w:rsidR="00FE1DFD" w:rsidRPr="00FE1DFD" w:rsidTr="00FE1DFD">
        <w:trPr>
          <w:trHeight w:val="300"/>
          <w:jc w:val="center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Health Services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DFD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1DFD">
              <w:rPr>
                <w:rFonts w:ascii="Times New Roman" w:eastAsia="Times New Roman" w:hAnsi="Times New Roman" w:cs="Times New Roman"/>
                <w:sz w:val="16"/>
                <w:szCs w:val="16"/>
              </w:rPr>
              <w:t>116.69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1DFD">
              <w:rPr>
                <w:rFonts w:ascii="Times New Roman" w:eastAsia="Times New Roman" w:hAnsi="Times New Roman" w:cs="Times New Roman"/>
                <w:sz w:val="16"/>
                <w:szCs w:val="16"/>
              </w:rPr>
              <w:t>107.89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1DFD">
              <w:rPr>
                <w:rFonts w:ascii="Times New Roman" w:eastAsia="Times New Roman" w:hAnsi="Times New Roman" w:cs="Times New Roman"/>
                <w:sz w:val="18"/>
                <w:szCs w:val="18"/>
              </w:rPr>
              <w:t>8.16</w:t>
            </w:r>
          </w:p>
        </w:tc>
      </w:tr>
      <w:tr w:rsidR="00FE1DFD" w:rsidRPr="00FE1DFD" w:rsidTr="00FE1DFD">
        <w:trPr>
          <w:trHeight w:val="300"/>
          <w:jc w:val="center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DFD">
              <w:rPr>
                <w:rFonts w:ascii="Times New Roman" w:eastAsia="Times New Roman" w:hAnsi="Times New Roman" w:cs="Times New Roman"/>
                <w:sz w:val="20"/>
                <w:szCs w:val="20"/>
              </w:rPr>
              <w:t>Transportation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DFD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1DFD">
              <w:rPr>
                <w:rFonts w:ascii="Times New Roman" w:eastAsia="Times New Roman" w:hAnsi="Times New Roman" w:cs="Times New Roman"/>
                <w:sz w:val="16"/>
                <w:szCs w:val="16"/>
              </w:rPr>
              <w:t>101.78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1DFD">
              <w:rPr>
                <w:rFonts w:ascii="Times New Roman" w:eastAsia="Times New Roman" w:hAnsi="Times New Roman" w:cs="Times New Roman"/>
                <w:sz w:val="16"/>
                <w:szCs w:val="16"/>
              </w:rPr>
              <w:t>105.15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1DFD">
              <w:rPr>
                <w:rFonts w:ascii="Times New Roman" w:eastAsia="Times New Roman" w:hAnsi="Times New Roman" w:cs="Times New Roman"/>
                <w:sz w:val="18"/>
                <w:szCs w:val="18"/>
              </w:rPr>
              <w:t>-3.21</w:t>
            </w:r>
          </w:p>
        </w:tc>
      </w:tr>
      <w:tr w:rsidR="00FE1DFD" w:rsidRPr="00FE1DFD" w:rsidTr="00FE1DFD">
        <w:trPr>
          <w:trHeight w:val="300"/>
          <w:jc w:val="center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Communication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DFD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1DFD">
              <w:rPr>
                <w:rFonts w:ascii="Times New Roman" w:eastAsia="Times New Roman" w:hAnsi="Times New Roman" w:cs="Times New Roman"/>
                <w:sz w:val="16"/>
                <w:szCs w:val="16"/>
              </w:rPr>
              <w:t>110.42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1DFD">
              <w:rPr>
                <w:rFonts w:ascii="Times New Roman" w:eastAsia="Times New Roman" w:hAnsi="Times New Roman" w:cs="Times New Roman"/>
                <w:sz w:val="16"/>
                <w:szCs w:val="16"/>
              </w:rPr>
              <w:t>109.80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1DFD">
              <w:rPr>
                <w:rFonts w:ascii="Times New Roman" w:eastAsia="Times New Roman" w:hAnsi="Times New Roman" w:cs="Times New Roman"/>
                <w:sz w:val="18"/>
                <w:szCs w:val="18"/>
              </w:rPr>
              <w:t>0.56</w:t>
            </w:r>
          </w:p>
        </w:tc>
      </w:tr>
      <w:tr w:rsidR="00FE1DFD" w:rsidRPr="00FE1DFD" w:rsidTr="00FE1DFD">
        <w:trPr>
          <w:trHeight w:val="300"/>
          <w:jc w:val="center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DFD">
              <w:rPr>
                <w:rFonts w:ascii="Times New Roman" w:eastAsia="Times New Roman" w:hAnsi="Times New Roman" w:cs="Times New Roman"/>
                <w:sz w:val="20"/>
                <w:szCs w:val="20"/>
              </w:rPr>
              <w:t>Recreation and Culture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DFD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1DFD">
              <w:rPr>
                <w:rFonts w:ascii="Times New Roman" w:eastAsia="Times New Roman" w:hAnsi="Times New Roman" w:cs="Times New Roman"/>
                <w:sz w:val="16"/>
                <w:szCs w:val="16"/>
              </w:rPr>
              <w:t>120.52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1DFD">
              <w:rPr>
                <w:rFonts w:ascii="Times New Roman" w:eastAsia="Times New Roman" w:hAnsi="Times New Roman" w:cs="Times New Roman"/>
                <w:sz w:val="16"/>
                <w:szCs w:val="16"/>
              </w:rPr>
              <w:t>114.22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1DFD">
              <w:rPr>
                <w:rFonts w:ascii="Times New Roman" w:eastAsia="Times New Roman" w:hAnsi="Times New Roman" w:cs="Times New Roman"/>
                <w:sz w:val="18"/>
                <w:szCs w:val="18"/>
              </w:rPr>
              <w:t>5.52</w:t>
            </w:r>
          </w:p>
        </w:tc>
      </w:tr>
      <w:tr w:rsidR="00FE1DFD" w:rsidRPr="00FE1DFD" w:rsidTr="00FE1DFD">
        <w:trPr>
          <w:trHeight w:val="300"/>
          <w:jc w:val="center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Education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DF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1DFD">
              <w:rPr>
                <w:rFonts w:ascii="Times New Roman" w:eastAsia="Times New Roman" w:hAnsi="Times New Roman" w:cs="Times New Roman"/>
                <w:sz w:val="16"/>
                <w:szCs w:val="16"/>
              </w:rPr>
              <w:t>102.26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1DFD">
              <w:rPr>
                <w:rFonts w:ascii="Times New Roman" w:eastAsia="Times New Roman" w:hAnsi="Times New Roman" w:cs="Times New Roman"/>
                <w:sz w:val="16"/>
                <w:szCs w:val="16"/>
              </w:rPr>
              <w:t>101.21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1DFD">
              <w:rPr>
                <w:rFonts w:ascii="Times New Roman" w:eastAsia="Times New Roman" w:hAnsi="Times New Roman" w:cs="Times New Roman"/>
                <w:sz w:val="18"/>
                <w:szCs w:val="18"/>
              </w:rPr>
              <w:t>1.04</w:t>
            </w:r>
          </w:p>
        </w:tc>
      </w:tr>
      <w:tr w:rsidR="00FE1DFD" w:rsidRPr="00FE1DFD" w:rsidTr="00FE1DFD">
        <w:trPr>
          <w:trHeight w:val="300"/>
          <w:jc w:val="center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Restaurant and Hotel Services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DFD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1DFD">
              <w:rPr>
                <w:rFonts w:ascii="Times New Roman" w:eastAsia="Times New Roman" w:hAnsi="Times New Roman" w:cs="Times New Roman"/>
                <w:sz w:val="16"/>
                <w:szCs w:val="16"/>
              </w:rPr>
              <w:t>100.13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1DFD">
              <w:rPr>
                <w:rFonts w:ascii="Times New Roman" w:eastAsia="Times New Roman" w:hAnsi="Times New Roman" w:cs="Times New Roman"/>
                <w:sz w:val="16"/>
                <w:szCs w:val="16"/>
              </w:rPr>
              <w:t>99.19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1DFD">
              <w:rPr>
                <w:rFonts w:ascii="Times New Roman" w:eastAsia="Times New Roman" w:hAnsi="Times New Roman" w:cs="Times New Roman"/>
                <w:sz w:val="18"/>
                <w:szCs w:val="18"/>
              </w:rPr>
              <w:t>0.95</w:t>
            </w:r>
          </w:p>
        </w:tc>
      </w:tr>
      <w:tr w:rsidR="00FE1DFD" w:rsidRPr="00FE1DFD" w:rsidTr="00FE1DFD">
        <w:trPr>
          <w:trHeight w:val="300"/>
          <w:jc w:val="center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Miscellaneous Goods and Services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DFD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1DFD">
              <w:rPr>
                <w:rFonts w:ascii="Times New Roman" w:eastAsia="Times New Roman" w:hAnsi="Times New Roman" w:cs="Times New Roman"/>
                <w:sz w:val="16"/>
                <w:szCs w:val="16"/>
              </w:rPr>
              <w:t>104.19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1DFD">
              <w:rPr>
                <w:rFonts w:ascii="Times New Roman" w:eastAsia="Times New Roman" w:hAnsi="Times New Roman" w:cs="Times New Roman"/>
                <w:sz w:val="16"/>
                <w:szCs w:val="16"/>
              </w:rPr>
              <w:t>103.50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1DFD">
              <w:rPr>
                <w:rFonts w:ascii="Times New Roman" w:eastAsia="Times New Roman" w:hAnsi="Times New Roman" w:cs="Times New Roman"/>
                <w:sz w:val="18"/>
                <w:szCs w:val="18"/>
              </w:rPr>
              <w:t>0.67</w:t>
            </w:r>
          </w:p>
        </w:tc>
      </w:tr>
      <w:tr w:rsidR="00FE1DFD" w:rsidRPr="00FE1DFD" w:rsidTr="00FE1DFD">
        <w:trPr>
          <w:trHeight w:val="300"/>
          <w:jc w:val="center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Groups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DF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1DFD">
              <w:rPr>
                <w:rFonts w:ascii="Times New Roman" w:eastAsia="Times New Roman" w:hAnsi="Times New Roman" w:cs="Times New Roman"/>
                <w:sz w:val="16"/>
                <w:szCs w:val="16"/>
              </w:rPr>
              <w:t>104.94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FE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1DFD">
              <w:rPr>
                <w:rFonts w:ascii="Times New Roman" w:eastAsia="Times New Roman" w:hAnsi="Times New Roman" w:cs="Times New Roman"/>
                <w:sz w:val="16"/>
                <w:szCs w:val="16"/>
              </w:rPr>
              <w:t>104.06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D" w:rsidRPr="00FE1DFD" w:rsidRDefault="00FE1DFD" w:rsidP="005E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1DFD">
              <w:rPr>
                <w:rFonts w:ascii="Times New Roman" w:eastAsia="Times New Roman" w:hAnsi="Times New Roman" w:cs="Times New Roman"/>
                <w:sz w:val="18"/>
                <w:szCs w:val="18"/>
              </w:rPr>
              <w:t>0.8</w:t>
            </w:r>
            <w:r w:rsidR="005E570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12298E" w:rsidRDefault="0012298E" w:rsidP="00FE1DFD">
      <w:pPr>
        <w:spacing w:after="0" w:line="240" w:lineRule="auto"/>
        <w:rPr>
          <w:rFonts w:ascii="Times New Roman" w:hAnsi="Times New Roman" w:cs="Times New Roman"/>
        </w:rPr>
      </w:pPr>
    </w:p>
    <w:p w:rsidR="0012298E" w:rsidRDefault="0012298E" w:rsidP="009E0E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298E" w:rsidRDefault="0012298E" w:rsidP="009E0E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298E" w:rsidRDefault="0012298E" w:rsidP="009E0E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298E" w:rsidRDefault="0012298E" w:rsidP="009E0E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298E" w:rsidRDefault="0012298E" w:rsidP="009E0E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298E" w:rsidRDefault="0012298E" w:rsidP="009E0E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298E" w:rsidRDefault="0012298E" w:rsidP="009E0E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298E" w:rsidRDefault="0012298E" w:rsidP="009E0E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298E" w:rsidRDefault="0012298E" w:rsidP="009E0E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298E" w:rsidRDefault="0012298E" w:rsidP="009E0E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298E" w:rsidRDefault="0012298E" w:rsidP="009E0E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298E" w:rsidRDefault="0012298E" w:rsidP="009E0E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0452" w:rsidRDefault="00A90452" w:rsidP="009E0E17">
      <w:pPr>
        <w:spacing w:after="0" w:line="240" w:lineRule="auto"/>
        <w:jc w:val="both"/>
        <w:rPr>
          <w:rFonts w:ascii="Times New Roman" w:hAnsi="Times New Roman" w:cs="Times New Roman"/>
        </w:rPr>
        <w:sectPr w:rsidR="00A90452" w:rsidSect="00846A01">
          <w:footerReference w:type="default" r:id="rId9"/>
          <w:pgSz w:w="12240" w:h="15840"/>
          <w:pgMar w:top="720" w:right="720" w:bottom="720" w:left="720" w:header="720" w:footer="720" w:gutter="0"/>
          <w:cols w:space="432"/>
          <w:docGrid w:linePitch="360"/>
        </w:sectPr>
      </w:pPr>
    </w:p>
    <w:p w:rsidR="0012298E" w:rsidRDefault="0012298E" w:rsidP="009E0E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298E" w:rsidRDefault="0012298E" w:rsidP="009E0E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298E" w:rsidRDefault="0012298E" w:rsidP="009E0E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298E" w:rsidRDefault="00A90452" w:rsidP="009E0E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0452">
        <w:rPr>
          <w:noProof/>
        </w:rPr>
        <w:drawing>
          <wp:inline distT="0" distB="0" distL="0" distR="0" wp14:anchorId="4086846A" wp14:editId="0392AD6E">
            <wp:extent cx="9429750" cy="3933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98E" w:rsidRDefault="0012298E" w:rsidP="009E0E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5F6B" w:rsidRDefault="00AE5F6B" w:rsidP="00A90452">
      <w:pPr>
        <w:spacing w:after="0" w:line="240" w:lineRule="auto"/>
        <w:rPr>
          <w:rFonts w:ascii="Book Antiqua" w:eastAsia="Times New Roman" w:hAnsi="Book Antiqua" w:cs="Times New Roman"/>
          <w:b/>
          <w:i/>
          <w:sz w:val="18"/>
          <w:szCs w:val="18"/>
        </w:rPr>
      </w:pPr>
    </w:p>
    <w:p w:rsidR="00AE5F6B" w:rsidRPr="00AE5F6B" w:rsidRDefault="00AE5F6B" w:rsidP="00AE5F6B">
      <w:pPr>
        <w:rPr>
          <w:rFonts w:ascii="Book Antiqua" w:eastAsia="Times New Roman" w:hAnsi="Book Antiqua" w:cs="Times New Roman"/>
          <w:sz w:val="18"/>
          <w:szCs w:val="18"/>
        </w:rPr>
      </w:pPr>
    </w:p>
    <w:p w:rsidR="00AE5F6B" w:rsidRPr="00AE5F6B" w:rsidRDefault="00AE5F6B" w:rsidP="00AE5F6B">
      <w:pPr>
        <w:rPr>
          <w:rFonts w:ascii="Book Antiqua" w:eastAsia="Times New Roman" w:hAnsi="Book Antiqua" w:cs="Times New Roman"/>
          <w:sz w:val="18"/>
          <w:szCs w:val="18"/>
        </w:rPr>
      </w:pPr>
    </w:p>
    <w:p w:rsidR="00AE5F6B" w:rsidRPr="00AE5F6B" w:rsidRDefault="00AE5F6B" w:rsidP="00AE5F6B">
      <w:pPr>
        <w:rPr>
          <w:rFonts w:ascii="Book Antiqua" w:eastAsia="Times New Roman" w:hAnsi="Book Antiqua" w:cs="Times New Roman"/>
          <w:sz w:val="18"/>
          <w:szCs w:val="18"/>
        </w:rPr>
      </w:pPr>
    </w:p>
    <w:p w:rsidR="00AE5F6B" w:rsidRPr="00AE5F6B" w:rsidRDefault="00AE5F6B" w:rsidP="00AE5F6B">
      <w:pPr>
        <w:rPr>
          <w:rFonts w:ascii="Book Antiqua" w:eastAsia="Times New Roman" w:hAnsi="Book Antiqua" w:cs="Times New Roman"/>
          <w:sz w:val="18"/>
          <w:szCs w:val="18"/>
        </w:rPr>
      </w:pPr>
    </w:p>
    <w:p w:rsidR="00AE5F6B" w:rsidRPr="00AE5F6B" w:rsidRDefault="00AE5F6B" w:rsidP="00AE5F6B">
      <w:pPr>
        <w:rPr>
          <w:rFonts w:ascii="Book Antiqua" w:eastAsia="Times New Roman" w:hAnsi="Book Antiqua" w:cs="Times New Roman"/>
          <w:sz w:val="18"/>
          <w:szCs w:val="18"/>
        </w:rPr>
      </w:pPr>
    </w:p>
    <w:p w:rsidR="00AE5F6B" w:rsidRPr="00AE5F6B" w:rsidRDefault="00AE5F6B" w:rsidP="00AE5F6B">
      <w:pPr>
        <w:rPr>
          <w:rFonts w:ascii="Book Antiqua" w:eastAsia="Times New Roman" w:hAnsi="Book Antiqua" w:cs="Times New Roman"/>
          <w:sz w:val="18"/>
          <w:szCs w:val="18"/>
        </w:rPr>
      </w:pPr>
    </w:p>
    <w:p w:rsidR="00EF2B1C" w:rsidRPr="00AE5F6B" w:rsidRDefault="00EF2B1C" w:rsidP="00AE5F6B">
      <w:pPr>
        <w:rPr>
          <w:rFonts w:ascii="Book Antiqua" w:eastAsia="Times New Roman" w:hAnsi="Book Antiqua" w:cs="Times New Roman"/>
          <w:sz w:val="18"/>
          <w:szCs w:val="18"/>
        </w:rPr>
        <w:sectPr w:rsidR="00EF2B1C" w:rsidRPr="00AE5F6B" w:rsidSect="00A90452">
          <w:pgSz w:w="15840" w:h="12240" w:orient="landscape"/>
          <w:pgMar w:top="720" w:right="720" w:bottom="720" w:left="720" w:header="720" w:footer="720" w:gutter="0"/>
          <w:cols w:space="432"/>
          <w:docGrid w:linePitch="360"/>
        </w:sectPr>
      </w:pPr>
    </w:p>
    <w:p w:rsidR="002C6E58" w:rsidRDefault="002C6E58" w:rsidP="002C6E58">
      <w:pPr>
        <w:jc w:val="center"/>
        <w:rPr>
          <w:b/>
        </w:rPr>
      </w:pPr>
    </w:p>
    <w:p w:rsidR="00663631" w:rsidRDefault="002C6E58" w:rsidP="002C6E58">
      <w:pPr>
        <w:jc w:val="center"/>
        <w:rPr>
          <w:rFonts w:ascii="Times New Roman" w:hAnsi="Times New Roman" w:cs="Times New Roman"/>
          <w:b/>
        </w:rPr>
      </w:pPr>
      <w:r w:rsidRPr="002C6E58">
        <w:rPr>
          <w:rFonts w:ascii="Times New Roman" w:hAnsi="Times New Roman" w:cs="Times New Roman"/>
          <w:b/>
        </w:rPr>
        <w:t>Annual Inflation Rate 2004-2015</w:t>
      </w:r>
    </w:p>
    <w:p w:rsidR="002C6E58" w:rsidRPr="002C6E58" w:rsidRDefault="002C6E58" w:rsidP="002C6E58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685DE38C" wp14:editId="1BBC1DC1">
            <wp:extent cx="5476875" cy="3948114"/>
            <wp:effectExtent l="0" t="0" r="9525" b="1460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2C6E58" w:rsidRPr="002C6E58" w:rsidSect="00846A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C85" w:rsidRDefault="005F3C85" w:rsidP="005F3C85">
      <w:pPr>
        <w:spacing w:after="0" w:line="240" w:lineRule="auto"/>
      </w:pPr>
      <w:r>
        <w:separator/>
      </w:r>
    </w:p>
  </w:endnote>
  <w:endnote w:type="continuationSeparator" w:id="0">
    <w:p w:rsidR="005F3C85" w:rsidRDefault="005F3C85" w:rsidP="005F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686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3C85" w:rsidRDefault="005F3C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0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3C85" w:rsidRDefault="005F3C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C85" w:rsidRDefault="005F3C85" w:rsidP="005F3C85">
      <w:pPr>
        <w:spacing w:after="0" w:line="240" w:lineRule="auto"/>
      </w:pPr>
      <w:r>
        <w:separator/>
      </w:r>
    </w:p>
  </w:footnote>
  <w:footnote w:type="continuationSeparator" w:id="0">
    <w:p w:rsidR="005F3C85" w:rsidRDefault="005F3C85" w:rsidP="005F3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62085"/>
    <w:multiLevelType w:val="hybridMultilevel"/>
    <w:tmpl w:val="3932B32A"/>
    <w:lvl w:ilvl="0" w:tplc="B6824AF6">
      <w:start w:val="201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312EA"/>
    <w:multiLevelType w:val="hybridMultilevel"/>
    <w:tmpl w:val="A4D0657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42A14D61"/>
    <w:multiLevelType w:val="hybridMultilevel"/>
    <w:tmpl w:val="7AFEF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2EF7"/>
    <w:multiLevelType w:val="hybridMultilevel"/>
    <w:tmpl w:val="0324D2D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5403390C"/>
    <w:multiLevelType w:val="hybridMultilevel"/>
    <w:tmpl w:val="77BE2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0672D"/>
    <w:multiLevelType w:val="hybridMultilevel"/>
    <w:tmpl w:val="EB5CC8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31"/>
    <w:rsid w:val="00046743"/>
    <w:rsid w:val="00065C96"/>
    <w:rsid w:val="000A068C"/>
    <w:rsid w:val="000B5BFF"/>
    <w:rsid w:val="000D2039"/>
    <w:rsid w:val="000D3070"/>
    <w:rsid w:val="000E36FA"/>
    <w:rsid w:val="00112553"/>
    <w:rsid w:val="00121731"/>
    <w:rsid w:val="0012298E"/>
    <w:rsid w:val="0013532B"/>
    <w:rsid w:val="001372DE"/>
    <w:rsid w:val="00143CC2"/>
    <w:rsid w:val="001523DC"/>
    <w:rsid w:val="001555EC"/>
    <w:rsid w:val="00172D90"/>
    <w:rsid w:val="0026330A"/>
    <w:rsid w:val="002662C5"/>
    <w:rsid w:val="00266A81"/>
    <w:rsid w:val="00271088"/>
    <w:rsid w:val="002948FC"/>
    <w:rsid w:val="00296F41"/>
    <w:rsid w:val="002A0864"/>
    <w:rsid w:val="002B055C"/>
    <w:rsid w:val="002B1978"/>
    <w:rsid w:val="002C6E58"/>
    <w:rsid w:val="002E0991"/>
    <w:rsid w:val="00357CD3"/>
    <w:rsid w:val="003631D5"/>
    <w:rsid w:val="00381D3F"/>
    <w:rsid w:val="003A0EF4"/>
    <w:rsid w:val="003A2CD4"/>
    <w:rsid w:val="003D141A"/>
    <w:rsid w:val="00437CCC"/>
    <w:rsid w:val="0046075A"/>
    <w:rsid w:val="0047135D"/>
    <w:rsid w:val="004A49B2"/>
    <w:rsid w:val="004B1084"/>
    <w:rsid w:val="004B2168"/>
    <w:rsid w:val="004B294E"/>
    <w:rsid w:val="004D06E1"/>
    <w:rsid w:val="004D4809"/>
    <w:rsid w:val="004D5607"/>
    <w:rsid w:val="004D7EC0"/>
    <w:rsid w:val="004E6335"/>
    <w:rsid w:val="004F777C"/>
    <w:rsid w:val="0052044F"/>
    <w:rsid w:val="0053113F"/>
    <w:rsid w:val="00583DF0"/>
    <w:rsid w:val="005868F7"/>
    <w:rsid w:val="005D1F87"/>
    <w:rsid w:val="005D285F"/>
    <w:rsid w:val="005D7E2F"/>
    <w:rsid w:val="005E570A"/>
    <w:rsid w:val="005F3C85"/>
    <w:rsid w:val="00607CEB"/>
    <w:rsid w:val="00631410"/>
    <w:rsid w:val="00647AA4"/>
    <w:rsid w:val="00660924"/>
    <w:rsid w:val="00663631"/>
    <w:rsid w:val="00694FB3"/>
    <w:rsid w:val="006A0FEB"/>
    <w:rsid w:val="006B0E4D"/>
    <w:rsid w:val="006B5AE3"/>
    <w:rsid w:val="006D631D"/>
    <w:rsid w:val="0074575D"/>
    <w:rsid w:val="007603FA"/>
    <w:rsid w:val="007634EC"/>
    <w:rsid w:val="00766953"/>
    <w:rsid w:val="0079502A"/>
    <w:rsid w:val="007A5AC4"/>
    <w:rsid w:val="007B0D0B"/>
    <w:rsid w:val="007C645B"/>
    <w:rsid w:val="007D42FD"/>
    <w:rsid w:val="007D79E2"/>
    <w:rsid w:val="00840C1D"/>
    <w:rsid w:val="008433B7"/>
    <w:rsid w:val="00846A01"/>
    <w:rsid w:val="00846D86"/>
    <w:rsid w:val="00865FC1"/>
    <w:rsid w:val="00867160"/>
    <w:rsid w:val="008803F6"/>
    <w:rsid w:val="00883F12"/>
    <w:rsid w:val="008910C8"/>
    <w:rsid w:val="00895EFD"/>
    <w:rsid w:val="008C0C71"/>
    <w:rsid w:val="008D49A5"/>
    <w:rsid w:val="00916D00"/>
    <w:rsid w:val="0092478B"/>
    <w:rsid w:val="009406DD"/>
    <w:rsid w:val="0095331C"/>
    <w:rsid w:val="00961E5D"/>
    <w:rsid w:val="0096716A"/>
    <w:rsid w:val="009A6361"/>
    <w:rsid w:val="009C5D6B"/>
    <w:rsid w:val="009E0E17"/>
    <w:rsid w:val="009F5B87"/>
    <w:rsid w:val="00A70F57"/>
    <w:rsid w:val="00A90452"/>
    <w:rsid w:val="00AA02F7"/>
    <w:rsid w:val="00AA31E6"/>
    <w:rsid w:val="00AD1A62"/>
    <w:rsid w:val="00AD59FA"/>
    <w:rsid w:val="00AE50E0"/>
    <w:rsid w:val="00AE5F6B"/>
    <w:rsid w:val="00AF49F5"/>
    <w:rsid w:val="00B00D0C"/>
    <w:rsid w:val="00B16639"/>
    <w:rsid w:val="00BA222F"/>
    <w:rsid w:val="00BA4E2E"/>
    <w:rsid w:val="00BB3B1F"/>
    <w:rsid w:val="00BC2482"/>
    <w:rsid w:val="00BD07CF"/>
    <w:rsid w:val="00BF0978"/>
    <w:rsid w:val="00C0657D"/>
    <w:rsid w:val="00C23371"/>
    <w:rsid w:val="00C23B94"/>
    <w:rsid w:val="00C35741"/>
    <w:rsid w:val="00CC57E4"/>
    <w:rsid w:val="00D1181E"/>
    <w:rsid w:val="00D1344F"/>
    <w:rsid w:val="00D21304"/>
    <w:rsid w:val="00D41D69"/>
    <w:rsid w:val="00DA5D5B"/>
    <w:rsid w:val="00DC7250"/>
    <w:rsid w:val="00E0063C"/>
    <w:rsid w:val="00E1565C"/>
    <w:rsid w:val="00E60612"/>
    <w:rsid w:val="00E719A8"/>
    <w:rsid w:val="00E753DC"/>
    <w:rsid w:val="00E9132A"/>
    <w:rsid w:val="00EC782D"/>
    <w:rsid w:val="00EF2B1C"/>
    <w:rsid w:val="00F15980"/>
    <w:rsid w:val="00F31B96"/>
    <w:rsid w:val="00F4738A"/>
    <w:rsid w:val="00F57485"/>
    <w:rsid w:val="00F6019D"/>
    <w:rsid w:val="00F6783E"/>
    <w:rsid w:val="00F92A5E"/>
    <w:rsid w:val="00F92AB1"/>
    <w:rsid w:val="00FB7DD5"/>
    <w:rsid w:val="00FD03BA"/>
    <w:rsid w:val="00FE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B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B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6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31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6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B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B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2">
    <w:name w:val="Body Text 2"/>
    <w:basedOn w:val="Normal"/>
    <w:link w:val="BodyText2Char"/>
    <w:rsid w:val="00EF2B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EF2B1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134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A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C85"/>
  </w:style>
  <w:style w:type="paragraph" w:styleId="Footer">
    <w:name w:val="footer"/>
    <w:basedOn w:val="Normal"/>
    <w:link w:val="FooterChar"/>
    <w:uiPriority w:val="99"/>
    <w:unhideWhenUsed/>
    <w:rsid w:val="005F3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B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B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6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31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6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B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B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2">
    <w:name w:val="Body Text 2"/>
    <w:basedOn w:val="Normal"/>
    <w:link w:val="BodyText2Char"/>
    <w:rsid w:val="00EF2B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EF2B1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134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A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C85"/>
  </w:style>
  <w:style w:type="paragraph" w:styleId="Footer">
    <w:name w:val="footer"/>
    <w:basedOn w:val="Normal"/>
    <w:link w:val="FooterChar"/>
    <w:uiPriority w:val="99"/>
    <w:unhideWhenUsed/>
    <w:rsid w:val="005F3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aseline="0"/>
              <a:t> </a:t>
            </a:r>
            <a:endParaRPr lang="en-US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Sheet4!$A$2:$A$13</c:f>
              <c:numCache>
                <c:formatCode>General</c:formatCode>
                <c:ptCount val="12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</c:numCache>
            </c:numRef>
          </c:cat>
          <c:val>
            <c:numRef>
              <c:f>Sheet4!$B$2:$B$13</c:f>
              <c:numCache>
                <c:formatCode>0.0</c:formatCode>
                <c:ptCount val="12"/>
                <c:pt idx="0">
                  <c:v>0.8</c:v>
                </c:pt>
                <c:pt idx="1">
                  <c:v>2</c:v>
                </c:pt>
                <c:pt idx="2">
                  <c:v>2.73</c:v>
                </c:pt>
                <c:pt idx="3">
                  <c:v>2.5</c:v>
                </c:pt>
                <c:pt idx="4">
                  <c:v>7.5</c:v>
                </c:pt>
                <c:pt idx="5">
                  <c:v>3</c:v>
                </c:pt>
                <c:pt idx="6">
                  <c:v>2.4</c:v>
                </c:pt>
                <c:pt idx="7">
                  <c:v>2.5</c:v>
                </c:pt>
                <c:pt idx="8">
                  <c:v>2.2000000000000002</c:v>
                </c:pt>
                <c:pt idx="9">
                  <c:v>1.5</c:v>
                </c:pt>
                <c:pt idx="10">
                  <c:v>1.9</c:v>
                </c:pt>
                <c:pt idx="11">
                  <c:v>0.9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8012544"/>
        <c:axId val="28014080"/>
      </c:lineChart>
      <c:catAx>
        <c:axId val="28012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8014080"/>
        <c:crosses val="autoZero"/>
        <c:auto val="1"/>
        <c:lblAlgn val="ctr"/>
        <c:lblOffset val="100"/>
        <c:noMultiLvlLbl val="0"/>
      </c:catAx>
      <c:valAx>
        <c:axId val="28014080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crossAx val="28012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Tamika N George</dc:creator>
  <cp:lastModifiedBy>Alyssa S.A. Shepherd</cp:lastModifiedBy>
  <cp:revision>2</cp:revision>
  <cp:lastPrinted>2016-01-22T14:39:00Z</cp:lastPrinted>
  <dcterms:created xsi:type="dcterms:W3CDTF">2016-09-19T19:59:00Z</dcterms:created>
  <dcterms:modified xsi:type="dcterms:W3CDTF">2016-09-19T19:59:00Z</dcterms:modified>
</cp:coreProperties>
</file>